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26E8" w:rsidRDefault="008E5673" w:rsidP="00BF74B4">
      <w:pPr>
        <w:tabs>
          <w:tab w:val="left" w:pos="1260"/>
          <w:tab w:val="left" w:pos="3720"/>
        </w:tabs>
      </w:pPr>
      <w:r>
        <w:rPr>
          <w:noProof/>
        </w:rPr>
        <w:pict>
          <v:group id="Grupa 18" o:spid="_x0000_s1026" style="position:absolute;margin-left:33.25pt;margin-top:63.8pt;width:497.25pt;height:65.25pt;z-index:-251658240;mso-position-horizontal-relative:page;mso-position-vertical-relative:page" coordsize="6315075,8286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7" o:spid="_x0000_s1027" type="#_x0000_t75" style="position:absolute;left:2286000;top:180975;width:1276350;height:466725;visibility:visible">
              <v:imagedata r:id="rId8" o:title=""/>
              <v:path arrowok="t"/>
            </v:shape>
            <v:shape id="Obraz 8" o:spid="_x0000_s1028" type="#_x0000_t75" style="position:absolute;width:1590675;height:828675;visibility:visible">
              <v:imagedata r:id="rId9" o:title=""/>
              <v:path arrowok="t"/>
            </v:shape>
            <v:shape id="Obraz 9" o:spid="_x0000_s1029" type="#_x0000_t75" style="position:absolute;left:4152900;top:114300;width:2162175;height:647700;visibility:visible">
              <v:imagedata r:id="rId10" o:title=""/>
              <v:path arrowok="t"/>
            </v:shape>
            <w10:wrap anchorx="page" anchory="page"/>
          </v:group>
        </w:pict>
      </w:r>
      <w:r w:rsidR="005E6CAE">
        <w:tab/>
      </w:r>
      <w:r w:rsidR="00BF74B4">
        <w:tab/>
      </w:r>
    </w:p>
    <w:p w:rsidR="004F5354" w:rsidRDefault="004F5354"/>
    <w:p w:rsidR="004F5354" w:rsidRDefault="004F5354"/>
    <w:p w:rsidR="004F5354" w:rsidRDefault="004F5354" w:rsidP="004F5354">
      <w:pPr>
        <w:jc w:val="center"/>
        <w:rPr>
          <w:b/>
          <w:sz w:val="56"/>
          <w:szCs w:val="56"/>
        </w:rPr>
      </w:pPr>
    </w:p>
    <w:p w:rsidR="004F5354" w:rsidRDefault="004F5354" w:rsidP="004F5354">
      <w:pPr>
        <w:jc w:val="center"/>
        <w:rPr>
          <w:b/>
          <w:sz w:val="56"/>
          <w:szCs w:val="56"/>
        </w:rPr>
      </w:pPr>
    </w:p>
    <w:p w:rsidR="00E9143A" w:rsidRDefault="00E9143A" w:rsidP="00E9143A">
      <w:pPr>
        <w:jc w:val="center"/>
        <w:rPr>
          <w:b/>
          <w:sz w:val="40"/>
          <w:szCs w:val="40"/>
        </w:rPr>
      </w:pPr>
      <w:r>
        <w:rPr>
          <w:b/>
          <w:sz w:val="40"/>
          <w:szCs w:val="40"/>
        </w:rPr>
        <w:t>Minimalny standard usług i katalog stawek</w:t>
      </w:r>
    </w:p>
    <w:p w:rsidR="002D0C62" w:rsidRPr="00E12C18" w:rsidRDefault="00E12C18" w:rsidP="002D0C62">
      <w:pPr>
        <w:jc w:val="center"/>
        <w:rPr>
          <w:sz w:val="40"/>
          <w:szCs w:val="40"/>
        </w:rPr>
      </w:pPr>
      <w:r w:rsidRPr="00E12C18">
        <w:rPr>
          <w:sz w:val="40"/>
          <w:szCs w:val="40"/>
        </w:rPr>
        <w:t xml:space="preserve">stosowany dla projektu pozakonkursowego realizowanego w ramach </w:t>
      </w:r>
      <w:r w:rsidRPr="00E12C18">
        <w:rPr>
          <w:i/>
          <w:sz w:val="40"/>
          <w:szCs w:val="40"/>
        </w:rPr>
        <w:t>Regionalnego Programu Operacyjnego Województwa Dolnośląskiego 2014-2020</w:t>
      </w:r>
    </w:p>
    <w:p w:rsidR="002D0C62" w:rsidRPr="00E12C18" w:rsidRDefault="00E12C18" w:rsidP="002D0C62">
      <w:pPr>
        <w:jc w:val="center"/>
        <w:rPr>
          <w:sz w:val="40"/>
          <w:szCs w:val="40"/>
        </w:rPr>
      </w:pPr>
      <w:r>
        <w:rPr>
          <w:sz w:val="40"/>
          <w:szCs w:val="40"/>
        </w:rPr>
        <w:t>Działanie</w:t>
      </w:r>
      <w:r w:rsidR="002D0C62" w:rsidRPr="00E12C18">
        <w:rPr>
          <w:sz w:val="40"/>
          <w:szCs w:val="40"/>
        </w:rPr>
        <w:t xml:space="preserve"> 9.4 Wspieranie gospodarki społecznej</w:t>
      </w:r>
      <w:r w:rsidR="00F16C56">
        <w:rPr>
          <w:sz w:val="40"/>
          <w:szCs w:val="40"/>
        </w:rPr>
        <w:t xml:space="preserve"> przez Dolnośląski Ośrodek Polityki Społecznej</w:t>
      </w:r>
    </w:p>
    <w:p w:rsidR="004F5354" w:rsidRPr="00E12C18" w:rsidRDefault="004F5354" w:rsidP="004F5354">
      <w:pPr>
        <w:jc w:val="center"/>
      </w:pPr>
    </w:p>
    <w:p w:rsidR="004F5354" w:rsidRPr="003F443F" w:rsidRDefault="004F5354" w:rsidP="004F5354">
      <w:pPr>
        <w:jc w:val="center"/>
      </w:pPr>
    </w:p>
    <w:p w:rsidR="004F5354" w:rsidRPr="003F443F" w:rsidRDefault="004F5354" w:rsidP="004F5354">
      <w:pPr>
        <w:jc w:val="center"/>
      </w:pPr>
    </w:p>
    <w:p w:rsidR="004F5354" w:rsidRPr="003F443F" w:rsidRDefault="004F5354" w:rsidP="004F5354">
      <w:pPr>
        <w:jc w:val="center"/>
      </w:pPr>
    </w:p>
    <w:p w:rsidR="00BF74B4" w:rsidRPr="003F443F" w:rsidRDefault="00BF74B4" w:rsidP="004F5354">
      <w:pPr>
        <w:jc w:val="center"/>
      </w:pPr>
    </w:p>
    <w:p w:rsidR="004F5354" w:rsidRPr="003F443F" w:rsidRDefault="004F5354" w:rsidP="004F5354">
      <w:pPr>
        <w:jc w:val="center"/>
      </w:pPr>
    </w:p>
    <w:p w:rsidR="004F5354" w:rsidRPr="003F443F" w:rsidRDefault="004F5354" w:rsidP="005E6CAE"/>
    <w:p w:rsidR="004F5354" w:rsidRPr="003F443F" w:rsidRDefault="004F5354" w:rsidP="004F5354">
      <w:pPr>
        <w:jc w:val="center"/>
      </w:pPr>
    </w:p>
    <w:p w:rsidR="004F5354" w:rsidRPr="003F443F" w:rsidRDefault="004F5354" w:rsidP="004F5354">
      <w:pPr>
        <w:jc w:val="center"/>
      </w:pPr>
    </w:p>
    <w:p w:rsidR="00A471EA" w:rsidRPr="003F443F" w:rsidRDefault="00A471EA" w:rsidP="00E12C18"/>
    <w:p w:rsidR="004F5354" w:rsidRPr="003F443F" w:rsidRDefault="005564AA" w:rsidP="004F5354">
      <w:pPr>
        <w:jc w:val="center"/>
      </w:pPr>
      <w:r w:rsidRPr="003F443F">
        <w:t>Wrocław</w:t>
      </w:r>
      <w:r w:rsidR="004F5354" w:rsidRPr="003F443F">
        <w:t xml:space="preserve">, </w:t>
      </w:r>
      <w:r w:rsidR="00DC7982" w:rsidRPr="007516B2">
        <w:t>wrzesień</w:t>
      </w:r>
      <w:r w:rsidR="004F5354" w:rsidRPr="007516B2">
        <w:t xml:space="preserve"> </w:t>
      </w:r>
      <w:r w:rsidR="004F5354" w:rsidRPr="003F443F">
        <w:t>2015 roku</w:t>
      </w:r>
    </w:p>
    <w:p w:rsidR="000C0F33" w:rsidRDefault="000C0F33" w:rsidP="004F5354">
      <w:pPr>
        <w:jc w:val="both"/>
        <w:rPr>
          <w:color w:val="FF0000"/>
          <w:sz w:val="24"/>
          <w:szCs w:val="24"/>
          <w:u w:val="single"/>
        </w:rPr>
      </w:pPr>
    </w:p>
    <w:p w:rsidR="00E12C18" w:rsidRDefault="00E12C18" w:rsidP="00567364">
      <w:pPr>
        <w:rPr>
          <w:b/>
          <w:sz w:val="24"/>
          <w:szCs w:val="24"/>
          <w:u w:val="single"/>
        </w:rPr>
      </w:pPr>
    </w:p>
    <w:p w:rsidR="00E9143A" w:rsidRDefault="00E9143A" w:rsidP="00297B62">
      <w:pPr>
        <w:rPr>
          <w:b/>
          <w:sz w:val="24"/>
          <w:szCs w:val="24"/>
          <w:u w:val="single"/>
        </w:rPr>
      </w:pPr>
    </w:p>
    <w:p w:rsidR="00E9143A" w:rsidRDefault="00E9143A" w:rsidP="00E9143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r>
        <w:rPr>
          <w:b/>
          <w:sz w:val="28"/>
          <w:szCs w:val="28"/>
        </w:rPr>
        <w:t xml:space="preserve">  </w:t>
      </w:r>
      <w:r w:rsidRPr="005B69CA">
        <w:rPr>
          <w:b/>
          <w:sz w:val="28"/>
          <w:szCs w:val="28"/>
        </w:rPr>
        <w:t>REGULACJE OGÓLNE</w:t>
      </w:r>
    </w:p>
    <w:p w:rsidR="00DB6E25" w:rsidRPr="005B69CA" w:rsidRDefault="00DB6E25" w:rsidP="00E9143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sz w:val="28"/>
          <w:szCs w:val="28"/>
        </w:rPr>
      </w:pPr>
    </w:p>
    <w:p w:rsidR="00E9143A" w:rsidRPr="00EF7AB2" w:rsidRDefault="00E9143A" w:rsidP="00E9143A">
      <w:pPr>
        <w:spacing w:line="240" w:lineRule="auto"/>
        <w:jc w:val="both"/>
        <w:rPr>
          <w:rFonts w:ascii="Times New Roman" w:hAnsi="Times New Roman" w:cs="Times New Roman"/>
          <w:sz w:val="24"/>
          <w:szCs w:val="24"/>
        </w:rPr>
      </w:pPr>
    </w:p>
    <w:p w:rsidR="00E9143A" w:rsidRPr="001B5628" w:rsidRDefault="005F5AA9" w:rsidP="00E9143A">
      <w:pPr>
        <w:pStyle w:val="Akapitzlist"/>
        <w:numPr>
          <w:ilvl w:val="0"/>
          <w:numId w:val="1"/>
        </w:numPr>
        <w:spacing w:line="240" w:lineRule="auto"/>
        <w:ind w:left="714" w:hanging="357"/>
        <w:jc w:val="both"/>
        <w:rPr>
          <w:rFonts w:cs="Times New Roman"/>
        </w:rPr>
      </w:pPr>
      <w:r w:rsidRPr="005F5AA9">
        <w:rPr>
          <w:rFonts w:cs="Times New Roman"/>
        </w:rPr>
        <w:t>Standardy usług oraz katalog stawek dotyczy realizacji usług w zakresie działań koordynacyjnych ekonomii społecznej.</w:t>
      </w:r>
    </w:p>
    <w:p w:rsidR="008C7476" w:rsidRPr="001B5628" w:rsidRDefault="008C7476" w:rsidP="008C7476">
      <w:pPr>
        <w:pStyle w:val="Akapitzlist"/>
        <w:spacing w:line="240" w:lineRule="auto"/>
        <w:ind w:left="714"/>
        <w:jc w:val="both"/>
        <w:rPr>
          <w:rFonts w:cs="Times New Roman"/>
        </w:rPr>
      </w:pPr>
    </w:p>
    <w:p w:rsidR="00E9143A" w:rsidRPr="001B5628" w:rsidRDefault="005F5AA9" w:rsidP="00E9143A">
      <w:pPr>
        <w:pStyle w:val="Akapitzlist"/>
        <w:numPr>
          <w:ilvl w:val="0"/>
          <w:numId w:val="1"/>
        </w:numPr>
        <w:spacing w:before="240" w:line="240" w:lineRule="auto"/>
        <w:ind w:left="714" w:hanging="357"/>
        <w:jc w:val="both"/>
      </w:pPr>
      <w:r w:rsidRPr="005F5AA9">
        <w:rPr>
          <w:i/>
        </w:rPr>
        <w:t>Wykaz dopuszczalnych stawek dla towarów i usług</w:t>
      </w:r>
      <w:r w:rsidRPr="005F5AA9">
        <w:t xml:space="preserve"> </w:t>
      </w:r>
      <w:r w:rsidRPr="005F5AA9">
        <w:rPr>
          <w:i/>
        </w:rPr>
        <w:t>oraz standardów</w:t>
      </w:r>
      <w:r w:rsidRPr="005F5AA9">
        <w:t xml:space="preserve"> </w:t>
      </w:r>
      <w:r w:rsidRPr="005F5AA9">
        <w:rPr>
          <w:i/>
        </w:rPr>
        <w:t>usług</w:t>
      </w:r>
      <w:r w:rsidRPr="005F5AA9">
        <w:t xml:space="preserve"> określa najczęściej występujące koszty w projektach finansowanych z EFS w ramach programu regionalnego.</w:t>
      </w:r>
    </w:p>
    <w:p w:rsidR="00E9143A" w:rsidRPr="001B5628" w:rsidRDefault="00E9143A" w:rsidP="00E9143A">
      <w:pPr>
        <w:pStyle w:val="Akapitzlist"/>
        <w:spacing w:before="240" w:line="240" w:lineRule="auto"/>
        <w:ind w:left="714"/>
        <w:jc w:val="both"/>
      </w:pPr>
    </w:p>
    <w:p w:rsidR="00E9143A" w:rsidRPr="001B5628" w:rsidRDefault="005F5AA9" w:rsidP="00E9143A">
      <w:pPr>
        <w:pStyle w:val="Akapitzlist"/>
        <w:numPr>
          <w:ilvl w:val="0"/>
          <w:numId w:val="1"/>
        </w:numPr>
        <w:spacing w:line="240" w:lineRule="auto"/>
        <w:ind w:left="714" w:hanging="357"/>
        <w:jc w:val="both"/>
      </w:pPr>
      <w:r w:rsidRPr="005F5AA9">
        <w:t xml:space="preserve">Przyjęcie dopuszczalnej stawki nie oznacza również, że będzie akceptowana </w:t>
      </w:r>
      <w:r w:rsidRPr="005F5AA9">
        <w:br/>
        <w:t>w każdym budżecie – przy ocenie będą brane pod uwagę takie czynniki jak: specyfika projektu, stopień złożoności projektu, wielkość grupy docelowej, miejsce realizacji projektu.</w:t>
      </w:r>
    </w:p>
    <w:p w:rsidR="00E9143A" w:rsidRPr="001B5628" w:rsidRDefault="00E9143A" w:rsidP="00E9143A">
      <w:pPr>
        <w:pStyle w:val="Akapitzlist"/>
        <w:spacing w:line="240" w:lineRule="auto"/>
        <w:ind w:left="714"/>
        <w:jc w:val="both"/>
      </w:pPr>
    </w:p>
    <w:p w:rsidR="00E9143A" w:rsidRPr="001B5628" w:rsidRDefault="005F5AA9" w:rsidP="00E9143A">
      <w:pPr>
        <w:pStyle w:val="Akapitzlist"/>
        <w:numPr>
          <w:ilvl w:val="0"/>
          <w:numId w:val="1"/>
        </w:numPr>
        <w:spacing w:line="240" w:lineRule="auto"/>
        <w:ind w:left="714" w:hanging="357"/>
        <w:jc w:val="both"/>
      </w:pPr>
      <w:r w:rsidRPr="005F5AA9">
        <w:t xml:space="preserve">W przypadku przekroczenia ww. stawki Beneficjent jest zobowiązany do zawarcia </w:t>
      </w:r>
      <w:r w:rsidRPr="005F5AA9">
        <w:br/>
        <w:t>we wniosku o dofinansowanie/wniosku o płatność uzasadnienia zaistniałej sytuacji.</w:t>
      </w:r>
    </w:p>
    <w:p w:rsidR="00E9143A" w:rsidRPr="001B5628" w:rsidRDefault="00E9143A" w:rsidP="00E9143A">
      <w:pPr>
        <w:pStyle w:val="Akapitzlist"/>
        <w:spacing w:line="240" w:lineRule="auto"/>
        <w:ind w:left="714"/>
        <w:jc w:val="both"/>
      </w:pPr>
    </w:p>
    <w:p w:rsidR="00E9143A" w:rsidRPr="001B5628" w:rsidRDefault="005F5AA9" w:rsidP="00E9143A">
      <w:pPr>
        <w:pStyle w:val="Akapitzlist"/>
        <w:numPr>
          <w:ilvl w:val="0"/>
          <w:numId w:val="1"/>
        </w:numPr>
        <w:spacing w:line="240" w:lineRule="auto"/>
        <w:ind w:left="714" w:hanging="357"/>
        <w:jc w:val="both"/>
      </w:pPr>
      <w:r w:rsidRPr="005F5AA9">
        <w:t>Wprowadzenie katalogu maksymalnych dopuszczalnych stawek nie oznacza automatycznego akceptowania przez oceniających stawek w ich maksymalnie dopuszczonej wysokości. Oceniający każdorazowo zobowiązani są do weryfikacji kosztów zgodnie z zasadą efektywnego zarządzania finansami.</w:t>
      </w:r>
    </w:p>
    <w:p w:rsidR="00E9143A" w:rsidRPr="001B5628" w:rsidRDefault="00E9143A" w:rsidP="00E9143A">
      <w:pPr>
        <w:pStyle w:val="Akapitzlist"/>
        <w:spacing w:line="240" w:lineRule="auto"/>
        <w:ind w:left="714"/>
        <w:jc w:val="both"/>
      </w:pPr>
    </w:p>
    <w:p w:rsidR="00E9143A" w:rsidRPr="001B5628" w:rsidRDefault="005F5AA9" w:rsidP="00E9143A">
      <w:pPr>
        <w:pStyle w:val="Akapitzlist"/>
        <w:numPr>
          <w:ilvl w:val="0"/>
          <w:numId w:val="1"/>
        </w:numPr>
        <w:spacing w:line="240" w:lineRule="auto"/>
        <w:ind w:left="714" w:hanging="357"/>
        <w:jc w:val="both"/>
      </w:pPr>
      <w:r w:rsidRPr="005F5AA9">
        <w:t>Jeśli koszt nie został ujęty w katalogu, istnieje możliwość odniesienia się do ceny podobnej kategorii kosztowej.</w:t>
      </w:r>
    </w:p>
    <w:p w:rsidR="00E9143A" w:rsidRPr="001B5628" w:rsidRDefault="00E9143A" w:rsidP="00E9143A">
      <w:pPr>
        <w:pStyle w:val="Akapitzlist"/>
        <w:spacing w:line="240" w:lineRule="auto"/>
        <w:ind w:left="714"/>
        <w:jc w:val="both"/>
      </w:pPr>
    </w:p>
    <w:p w:rsidR="00C04205" w:rsidRPr="001B5628" w:rsidRDefault="005F5AA9" w:rsidP="00C04205">
      <w:pPr>
        <w:pStyle w:val="Akapitzlist"/>
        <w:numPr>
          <w:ilvl w:val="0"/>
          <w:numId w:val="1"/>
        </w:numPr>
        <w:spacing w:line="240" w:lineRule="auto"/>
        <w:ind w:left="714" w:hanging="357"/>
        <w:jc w:val="both"/>
      </w:pPr>
      <w:r w:rsidRPr="005F5AA9">
        <w:rPr>
          <w:i/>
        </w:rPr>
        <w:t>Wykaz</w:t>
      </w:r>
      <w:r w:rsidRPr="005F5AA9">
        <w:t xml:space="preserve"> </w:t>
      </w:r>
      <w:r w:rsidRPr="005F5AA9">
        <w:rPr>
          <w:i/>
        </w:rPr>
        <w:t>dopuszczalnych stawek dla towarów i usług</w:t>
      </w:r>
      <w:r w:rsidRPr="005F5AA9">
        <w:t xml:space="preserve"> </w:t>
      </w:r>
      <w:r w:rsidRPr="005F5AA9">
        <w:rPr>
          <w:i/>
        </w:rPr>
        <w:t>oraz standardów usług</w:t>
      </w:r>
      <w:r w:rsidRPr="005F5AA9">
        <w:t xml:space="preserve"> nie stanowi katalogu zamkniętego i może być rozszerzany o nowe pozycje przez Instytucję Pośredniczącą. W przypadku wystąpienia w budżecie projektu kosztu spoza katalogu oceniający każdorazowo zobowiązani są do dokonania oceny tego kosztu </w:t>
      </w:r>
      <w:r w:rsidRPr="005F5AA9">
        <w:br/>
        <w:t xml:space="preserve">z perspektywy efektywności i racjonalności kosztowej, w tym spełniania odpowiedniej relacji </w:t>
      </w:r>
      <w:r w:rsidRPr="005F5AA9">
        <w:rPr>
          <w:i/>
        </w:rPr>
        <w:t>nakład – rezultat</w:t>
      </w:r>
      <w:r w:rsidRPr="005F5AA9">
        <w:t>.</w:t>
      </w:r>
    </w:p>
    <w:p w:rsidR="00C04205" w:rsidRPr="001B5628" w:rsidRDefault="00C04205" w:rsidP="00C04205">
      <w:pPr>
        <w:pStyle w:val="Akapitzlist"/>
        <w:spacing w:line="240" w:lineRule="auto"/>
        <w:ind w:left="714"/>
        <w:jc w:val="both"/>
      </w:pPr>
    </w:p>
    <w:p w:rsidR="00DC4CFD" w:rsidRPr="001B5628" w:rsidRDefault="005F5AA9" w:rsidP="00DC4CFD">
      <w:pPr>
        <w:pStyle w:val="Akapitzlist"/>
        <w:numPr>
          <w:ilvl w:val="0"/>
          <w:numId w:val="1"/>
        </w:numPr>
        <w:spacing w:line="240" w:lineRule="auto"/>
        <w:ind w:left="714" w:hanging="357"/>
        <w:jc w:val="both"/>
      </w:pPr>
      <w:r w:rsidRPr="005F5AA9">
        <w:rPr>
          <w:rFonts w:cs="Times New Roman"/>
        </w:rPr>
        <w:t>Katalog ten jest obowiązkowym narzędziem oceny racjonalności i efektywności kosztów  oraz realizacji usług</w:t>
      </w:r>
    </w:p>
    <w:p w:rsidR="00DC4CFD" w:rsidRPr="001B5628" w:rsidRDefault="00DC4CFD" w:rsidP="00DC4CFD">
      <w:pPr>
        <w:pStyle w:val="Akapitzlist"/>
        <w:spacing w:line="240" w:lineRule="auto"/>
        <w:ind w:left="714"/>
        <w:jc w:val="both"/>
      </w:pPr>
    </w:p>
    <w:p w:rsidR="00DC4CFD" w:rsidRPr="001B5628" w:rsidRDefault="005F5AA9" w:rsidP="00CC54B5">
      <w:pPr>
        <w:pStyle w:val="Akapitzlist"/>
        <w:numPr>
          <w:ilvl w:val="0"/>
          <w:numId w:val="1"/>
        </w:numPr>
        <w:spacing w:line="240" w:lineRule="auto"/>
        <w:ind w:left="714" w:hanging="357"/>
        <w:jc w:val="both"/>
      </w:pPr>
      <w:r w:rsidRPr="005F5AA9">
        <w:rPr>
          <w:rFonts w:cs="Times New Roman"/>
        </w:rPr>
        <w:t xml:space="preserve">Głównymi działaniami koordynacyjnymi ekonomię społeczną są </w:t>
      </w:r>
      <w:proofErr w:type="spellStart"/>
      <w:r w:rsidRPr="005F5AA9">
        <w:rPr>
          <w:rFonts w:cs="Times New Roman"/>
        </w:rPr>
        <w:t>m.in</w:t>
      </w:r>
      <w:proofErr w:type="spellEnd"/>
      <w:r w:rsidRPr="005F5AA9">
        <w:rPr>
          <w:rFonts w:cs="Times New Roman"/>
        </w:rPr>
        <w:t xml:space="preserve">: spotkania, warsztaty, seminaria, doradztwo, wymiana informacji, panele, tworzenie </w:t>
      </w:r>
      <w:proofErr w:type="spellStart"/>
      <w:r w:rsidRPr="005F5AA9">
        <w:rPr>
          <w:rFonts w:cs="Times New Roman"/>
        </w:rPr>
        <w:t>klastrów</w:t>
      </w:r>
      <w:proofErr w:type="spellEnd"/>
      <w:r w:rsidRPr="005F5AA9">
        <w:rPr>
          <w:rFonts w:cs="Times New Roman"/>
        </w:rPr>
        <w:t>, sieci współpracy, targi, dobre praktyki, debaty, wizyty studyjne,</w:t>
      </w:r>
      <w:r w:rsidR="007C1CE8">
        <w:rPr>
          <w:rFonts w:cs="Times New Roman"/>
        </w:rPr>
        <w:t xml:space="preserve"> </w:t>
      </w:r>
      <w:r w:rsidRPr="005F5AA9">
        <w:rPr>
          <w:rFonts w:cs="Times New Roman"/>
        </w:rPr>
        <w:t>itp.</w:t>
      </w:r>
    </w:p>
    <w:p w:rsidR="00CC54B5" w:rsidRPr="001B5628" w:rsidRDefault="00CC54B5" w:rsidP="00CC54B5">
      <w:pPr>
        <w:pStyle w:val="Akapitzlist"/>
        <w:spacing w:line="240" w:lineRule="auto"/>
        <w:ind w:left="714"/>
        <w:jc w:val="both"/>
      </w:pPr>
    </w:p>
    <w:p w:rsidR="00C848BD" w:rsidRPr="001B5628" w:rsidRDefault="005F5AA9" w:rsidP="00C848BD">
      <w:pPr>
        <w:pStyle w:val="Akapitzlist"/>
        <w:numPr>
          <w:ilvl w:val="0"/>
          <w:numId w:val="1"/>
        </w:numPr>
        <w:spacing w:line="240" w:lineRule="auto"/>
        <w:ind w:left="714" w:hanging="357"/>
        <w:jc w:val="both"/>
      </w:pPr>
      <w:r w:rsidRPr="005F5AA9">
        <w:t>Działania stricte szkoleniowe wykraczają poza zakres wsparcia koordynacyjnego ekonomii społecznej.</w:t>
      </w:r>
    </w:p>
    <w:p w:rsidR="000D05D9" w:rsidRPr="001B5628" w:rsidRDefault="000D05D9" w:rsidP="000D05D9">
      <w:pPr>
        <w:pStyle w:val="Akapitzlist"/>
        <w:spacing w:line="240" w:lineRule="auto"/>
        <w:ind w:left="714"/>
        <w:jc w:val="both"/>
      </w:pPr>
    </w:p>
    <w:p w:rsidR="000D05D9" w:rsidRPr="005003E4" w:rsidRDefault="000D05D9" w:rsidP="00E9143A">
      <w:pPr>
        <w:pStyle w:val="Akapitzlist"/>
        <w:numPr>
          <w:ilvl w:val="0"/>
          <w:numId w:val="1"/>
        </w:numPr>
        <w:spacing w:line="240" w:lineRule="auto"/>
        <w:ind w:left="714" w:hanging="357"/>
        <w:jc w:val="both"/>
      </w:pPr>
      <w:r w:rsidRPr="001B5628">
        <w:rPr>
          <w:rFonts w:cs="Arial"/>
        </w:rPr>
        <w:t xml:space="preserve">DOPS zobowiązany jest do współpracy z OWES w zakresie określenia podziału zadań </w:t>
      </w:r>
      <w:r w:rsidR="00EC3E76">
        <w:rPr>
          <w:rFonts w:cs="Arial"/>
        </w:rPr>
        <w:t xml:space="preserve">                    </w:t>
      </w:r>
      <w:r w:rsidRPr="001B5628">
        <w:rPr>
          <w:rFonts w:cs="Arial"/>
        </w:rPr>
        <w:t>i obszarów kompetencji, a także zasad współdziałania przy realizacji wspólnych inicjatyw.</w:t>
      </w:r>
    </w:p>
    <w:p w:rsidR="005003E4" w:rsidRPr="005003E4" w:rsidRDefault="005003E4" w:rsidP="005003E4">
      <w:pPr>
        <w:pStyle w:val="Akapitzlist"/>
        <w:spacing w:line="240" w:lineRule="auto"/>
        <w:ind w:left="714"/>
        <w:jc w:val="both"/>
      </w:pPr>
    </w:p>
    <w:p w:rsidR="005003E4" w:rsidRPr="001B5628" w:rsidRDefault="005003E4" w:rsidP="00E9143A">
      <w:pPr>
        <w:pStyle w:val="Akapitzlist"/>
        <w:numPr>
          <w:ilvl w:val="0"/>
          <w:numId w:val="1"/>
        </w:numPr>
        <w:spacing w:line="240" w:lineRule="auto"/>
        <w:ind w:left="714" w:hanging="357"/>
        <w:jc w:val="both"/>
      </w:pPr>
      <w:r>
        <w:rPr>
          <w:rFonts w:cs="Times New Roman"/>
          <w:sz w:val="24"/>
          <w:szCs w:val="24"/>
        </w:rPr>
        <w:t xml:space="preserve">W celu zapewnienia możliwości pełnego uczestnictwa osób z </w:t>
      </w:r>
      <w:proofErr w:type="spellStart"/>
      <w:r>
        <w:rPr>
          <w:rFonts w:cs="Times New Roman"/>
          <w:sz w:val="24"/>
          <w:szCs w:val="24"/>
        </w:rPr>
        <w:t>niepełnosprawnościami</w:t>
      </w:r>
      <w:proofErr w:type="spellEnd"/>
      <w:r>
        <w:rPr>
          <w:rFonts w:cs="Times New Roman"/>
          <w:sz w:val="24"/>
          <w:szCs w:val="24"/>
        </w:rPr>
        <w:t xml:space="preserve"> należy zastosować mechanizm racjonalnych usprawnień.</w:t>
      </w:r>
    </w:p>
    <w:p w:rsidR="00DB6E25" w:rsidRDefault="00DB6E25" w:rsidP="00CD33FC">
      <w:pPr>
        <w:spacing w:line="240" w:lineRule="auto"/>
        <w:rPr>
          <w:rFonts w:cs="Times New Roman"/>
          <w:b/>
          <w:sz w:val="24"/>
          <w:szCs w:val="24"/>
        </w:rPr>
      </w:pPr>
    </w:p>
    <w:p w:rsidR="00456A04" w:rsidRDefault="00456A04" w:rsidP="00CD33FC">
      <w:pPr>
        <w:spacing w:line="240" w:lineRule="auto"/>
        <w:rPr>
          <w:sz w:val="28"/>
          <w:szCs w:val="28"/>
          <w:u w:val="single"/>
        </w:rPr>
      </w:pPr>
    </w:p>
    <w:p w:rsidR="00297B62" w:rsidRDefault="00297B62" w:rsidP="00CD33FC">
      <w:pPr>
        <w:spacing w:line="240" w:lineRule="auto"/>
        <w:rPr>
          <w:sz w:val="28"/>
          <w:szCs w:val="28"/>
          <w:u w:val="single"/>
        </w:rPr>
      </w:pPr>
    </w:p>
    <w:p w:rsidR="007516B2" w:rsidRPr="007516B2" w:rsidRDefault="00456A04" w:rsidP="00456A0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cs="Segoe UI,Bold"/>
          <w:b/>
          <w:bCs/>
          <w:sz w:val="28"/>
          <w:szCs w:val="28"/>
        </w:rPr>
      </w:pPr>
      <w:r>
        <w:rPr>
          <w:rFonts w:cs="Segoe UI,Bold"/>
          <w:b/>
          <w:bCs/>
          <w:sz w:val="28"/>
          <w:szCs w:val="28"/>
        </w:rPr>
        <w:t xml:space="preserve">STANDARYZACJA USŁUG ORAZ </w:t>
      </w:r>
      <w:r w:rsidR="0009385B">
        <w:rPr>
          <w:rFonts w:cs="Segoe UI,Bold"/>
          <w:b/>
          <w:bCs/>
          <w:sz w:val="28"/>
          <w:szCs w:val="28"/>
        </w:rPr>
        <w:t>KATALOG STAWEK</w:t>
      </w:r>
      <w:r w:rsidR="00E9143A">
        <w:rPr>
          <w:rFonts w:cs="Segoe UI,Bold"/>
          <w:b/>
          <w:bCs/>
          <w:sz w:val="28"/>
          <w:szCs w:val="28"/>
        </w:rPr>
        <w:t xml:space="preserve"> CEN TOWARÓW I USŁUG</w:t>
      </w:r>
      <w:r w:rsidR="00206648">
        <w:rPr>
          <w:rFonts w:cs="Segoe UI,Bold"/>
          <w:b/>
          <w:bCs/>
          <w:sz w:val="28"/>
          <w:szCs w:val="28"/>
        </w:rPr>
        <w:br/>
      </w:r>
    </w:p>
    <w:p w:rsidR="00BD0B3E" w:rsidRPr="002A4A90" w:rsidRDefault="00EB1B9F" w:rsidP="002A4A90">
      <w:pPr>
        <w:jc w:val="both"/>
        <w:rPr>
          <w:bCs/>
          <w:color w:val="000000"/>
        </w:rPr>
      </w:pPr>
      <w:r w:rsidRPr="002A4A90">
        <w:t xml:space="preserve">Zgodnie z Wytycznymi w zakresie kwalifikowalności wydatków w ramach Europejskiego Funduszu Rozwoju Regionalnego, Europejskiego Funduszu Społecznego oraz Funduszu Spójności </w:t>
      </w:r>
      <w:r w:rsidR="007F3711" w:rsidRPr="002A4A90">
        <w:t xml:space="preserve">(rozdz. 8.3, pkt. 10) </w:t>
      </w:r>
      <w:r w:rsidRPr="002A4A90">
        <w:t>z dnia 10 kwietnia 2015 r. I</w:t>
      </w:r>
      <w:r w:rsidR="00BD0B3E" w:rsidRPr="002A4A90">
        <w:t xml:space="preserve">nstytucja Pośrednicząca </w:t>
      </w:r>
      <w:r w:rsidR="007F3711" w:rsidRPr="002A4A90">
        <w:t>określiła ceny rynkowe w zakresie najczęściej pojawiających się wydatków w danej grupie realizowanych projektów tzw.</w:t>
      </w:r>
      <w:r w:rsidR="00BD0B3E" w:rsidRPr="002A4A90">
        <w:t xml:space="preserve"> katalog maksymalnych dopuszczalnych stawek dla towarów i usług (w tym wynagrodzeń)</w:t>
      </w:r>
      <w:r w:rsidR="007F3711" w:rsidRPr="002A4A90">
        <w:t xml:space="preserve"> w</w:t>
      </w:r>
      <w:r w:rsidR="007F3711" w:rsidRPr="002A4A90">
        <w:rPr>
          <w:color w:val="000000"/>
        </w:rPr>
        <w:t xml:space="preserve"> </w:t>
      </w:r>
      <w:r w:rsidR="00BD0B3E" w:rsidRPr="002A4A90">
        <w:rPr>
          <w:color w:val="000000"/>
        </w:rPr>
        <w:t>ramach projekt</w:t>
      </w:r>
      <w:r w:rsidR="007F3711" w:rsidRPr="002A4A90">
        <w:rPr>
          <w:color w:val="000000"/>
        </w:rPr>
        <w:t>u</w:t>
      </w:r>
      <w:r w:rsidR="00BD0B3E" w:rsidRPr="002A4A90">
        <w:rPr>
          <w:color w:val="000000"/>
        </w:rPr>
        <w:t xml:space="preserve"> </w:t>
      </w:r>
      <w:r w:rsidR="007F3711" w:rsidRPr="002A4A90">
        <w:rPr>
          <w:color w:val="000000"/>
        </w:rPr>
        <w:t>pozakonkursowego</w:t>
      </w:r>
      <w:r w:rsidR="00BD0B3E" w:rsidRPr="002A4A90">
        <w:rPr>
          <w:color w:val="000000"/>
        </w:rPr>
        <w:t>, finansowan</w:t>
      </w:r>
      <w:r w:rsidR="007F3711" w:rsidRPr="002A4A90">
        <w:rPr>
          <w:color w:val="000000"/>
        </w:rPr>
        <w:t>ego</w:t>
      </w:r>
      <w:r w:rsidR="00BD0B3E" w:rsidRPr="002A4A90">
        <w:rPr>
          <w:color w:val="000000"/>
        </w:rPr>
        <w:t xml:space="preserve"> z </w:t>
      </w:r>
      <w:r w:rsidR="007F3711" w:rsidRPr="00BE7101">
        <w:rPr>
          <w:color w:val="000000"/>
        </w:rPr>
        <w:t xml:space="preserve">Regionalnego </w:t>
      </w:r>
      <w:r w:rsidR="00BD0B3E" w:rsidRPr="00BE7101">
        <w:rPr>
          <w:color w:val="000000"/>
        </w:rPr>
        <w:t xml:space="preserve">Programu Operacyjnego </w:t>
      </w:r>
      <w:r w:rsidR="007F3711" w:rsidRPr="00BE7101">
        <w:rPr>
          <w:color w:val="000000"/>
        </w:rPr>
        <w:t xml:space="preserve">Województwa Dolnośląskiego 2014-2020 </w:t>
      </w:r>
      <w:r w:rsidR="007F3711" w:rsidRPr="002A4A90">
        <w:rPr>
          <w:color w:val="000000"/>
        </w:rPr>
        <w:t xml:space="preserve">w ramach Działania 9.4 Wspieranie gospodarki społecznej. </w:t>
      </w:r>
    </w:p>
    <w:p w:rsidR="00BD0B3E" w:rsidRPr="002A4A90" w:rsidRDefault="00BD0B3E" w:rsidP="002A4A90">
      <w:pPr>
        <w:jc w:val="both"/>
        <w:rPr>
          <w:rFonts w:ascii="Calibri" w:hAnsi="Calibri"/>
        </w:rPr>
      </w:pPr>
      <w:r w:rsidRPr="002A4A90">
        <w:rPr>
          <w:rFonts w:ascii="Calibri" w:hAnsi="Calibri"/>
        </w:rPr>
        <w:t>Za „powszechnie występujący” koszt dla danego typu operacji zost</w:t>
      </w:r>
      <w:r w:rsidR="00195B43">
        <w:rPr>
          <w:rFonts w:ascii="Calibri" w:hAnsi="Calibri"/>
        </w:rPr>
        <w:t>ał wykazany wydatek,</w:t>
      </w:r>
      <w:r w:rsidRPr="002A4A90">
        <w:rPr>
          <w:rFonts w:ascii="Calibri" w:hAnsi="Calibri"/>
        </w:rPr>
        <w:t xml:space="preserve"> który</w:t>
      </w:r>
      <w:r w:rsidR="00FC33BC" w:rsidRPr="002A4A90">
        <w:rPr>
          <w:rFonts w:ascii="Calibri" w:hAnsi="Calibri"/>
        </w:rPr>
        <w:t xml:space="preserve"> </w:t>
      </w:r>
      <w:r w:rsidR="002A4A90">
        <w:rPr>
          <w:rFonts w:ascii="Calibri" w:hAnsi="Calibri"/>
        </w:rPr>
        <w:br/>
      </w:r>
      <w:r w:rsidR="00492272">
        <w:rPr>
          <w:rFonts w:ascii="Calibri" w:hAnsi="Calibri"/>
        </w:rPr>
        <w:t>w</w:t>
      </w:r>
      <w:r w:rsidR="00FC33BC" w:rsidRPr="002A4A90">
        <w:rPr>
          <w:rFonts w:ascii="Calibri" w:hAnsi="Calibri"/>
        </w:rPr>
        <w:t xml:space="preserve"> opinii Instytucji Pośredniczącej jest niezbędny do realiz</w:t>
      </w:r>
      <w:r w:rsidR="00E97312">
        <w:rPr>
          <w:rFonts w:ascii="Calibri" w:hAnsi="Calibri"/>
        </w:rPr>
        <w:t>acji projektu pozakonkursowego D</w:t>
      </w:r>
      <w:r w:rsidR="00FC33BC" w:rsidRPr="002A4A90">
        <w:rPr>
          <w:rFonts w:ascii="Calibri" w:hAnsi="Calibri"/>
        </w:rPr>
        <w:t>OPS, szczególnie z uwagi na charakter realizowanego projektu</w:t>
      </w:r>
      <w:r w:rsidR="00C2014E">
        <w:rPr>
          <w:rFonts w:ascii="Calibri" w:hAnsi="Calibri"/>
        </w:rPr>
        <w:t>.</w:t>
      </w:r>
      <w:r w:rsidR="00FC33BC" w:rsidRPr="002A4A90">
        <w:rPr>
          <w:rFonts w:ascii="Calibri" w:hAnsi="Calibri"/>
        </w:rPr>
        <w:t xml:space="preserve"> </w:t>
      </w:r>
      <w:r w:rsidR="00C2014E">
        <w:rPr>
          <w:rFonts w:ascii="Calibri" w:hAnsi="Calibri"/>
        </w:rPr>
        <w:t>W</w:t>
      </w:r>
      <w:r w:rsidR="0055342F" w:rsidRPr="002A4A90">
        <w:rPr>
          <w:rFonts w:ascii="Calibri" w:hAnsi="Calibri"/>
        </w:rPr>
        <w:t xml:space="preserve">skazano </w:t>
      </w:r>
      <w:r w:rsidR="00C2014E">
        <w:rPr>
          <w:rFonts w:ascii="Calibri" w:hAnsi="Calibri"/>
        </w:rPr>
        <w:t>część wydatków,</w:t>
      </w:r>
      <w:r w:rsidR="00FC33BC" w:rsidRPr="002A4A90">
        <w:rPr>
          <w:rFonts w:ascii="Calibri" w:hAnsi="Calibri"/>
        </w:rPr>
        <w:t xml:space="preserve"> które pojawiały się </w:t>
      </w:r>
      <w:r w:rsidR="0055342F" w:rsidRPr="002A4A90">
        <w:rPr>
          <w:rFonts w:ascii="Calibri" w:hAnsi="Calibri"/>
        </w:rPr>
        <w:t>w latach poprzednich przy wdrażaniu perspektywy finansowej 2007-2013 w ramach wdrażania Programu Operacyjnego Kapitał Ludzki</w:t>
      </w:r>
      <w:r w:rsidR="00D2164B" w:rsidRPr="002A4A90">
        <w:rPr>
          <w:rFonts w:ascii="Calibri" w:hAnsi="Calibri"/>
        </w:rPr>
        <w:t>.</w:t>
      </w:r>
      <w:r w:rsidR="0055342F" w:rsidRPr="002A4A90">
        <w:rPr>
          <w:rFonts w:ascii="Calibri" w:hAnsi="Calibri"/>
        </w:rPr>
        <w:t xml:space="preserve"> </w:t>
      </w:r>
      <w:r w:rsidR="00D2164B" w:rsidRPr="002A4A90">
        <w:rPr>
          <w:rFonts w:ascii="Calibri" w:hAnsi="Calibri"/>
        </w:rPr>
        <w:t>Z</w:t>
      </w:r>
      <w:r w:rsidRPr="002A4A90">
        <w:rPr>
          <w:rFonts w:ascii="Calibri" w:hAnsi="Calibri"/>
        </w:rPr>
        <w:t xml:space="preserve">e względu na </w:t>
      </w:r>
      <w:r w:rsidR="00D2164B" w:rsidRPr="002A4A90">
        <w:rPr>
          <w:rFonts w:ascii="Calibri" w:hAnsi="Calibri"/>
        </w:rPr>
        <w:t xml:space="preserve">kontynuowanie podobnych form wsparcia przez DOPS zaproponowany wykaz wydatków </w:t>
      </w:r>
      <w:r w:rsidRPr="002A4A90">
        <w:rPr>
          <w:rFonts w:ascii="Calibri" w:hAnsi="Calibri"/>
        </w:rPr>
        <w:t>będzie miał zastosowanie do wniosk</w:t>
      </w:r>
      <w:r w:rsidR="00D2164B" w:rsidRPr="002A4A90">
        <w:rPr>
          <w:rFonts w:ascii="Calibri" w:hAnsi="Calibri"/>
        </w:rPr>
        <w:t xml:space="preserve">u </w:t>
      </w:r>
      <w:r w:rsidRPr="002A4A90">
        <w:rPr>
          <w:rFonts w:ascii="Calibri" w:hAnsi="Calibri"/>
        </w:rPr>
        <w:t>złożon</w:t>
      </w:r>
      <w:r w:rsidR="00D2164B" w:rsidRPr="002A4A90">
        <w:rPr>
          <w:rFonts w:ascii="Calibri" w:hAnsi="Calibri"/>
        </w:rPr>
        <w:t>ego w 2015</w:t>
      </w:r>
      <w:r w:rsidRPr="002A4A90">
        <w:rPr>
          <w:rFonts w:ascii="Calibri" w:hAnsi="Calibri"/>
        </w:rPr>
        <w:t xml:space="preserve"> r. Ponadto w katalogu wydatków </w:t>
      </w:r>
      <w:r w:rsidR="00D2164B" w:rsidRPr="002A4A90">
        <w:rPr>
          <w:rFonts w:ascii="Calibri" w:hAnsi="Calibri"/>
        </w:rPr>
        <w:t xml:space="preserve">nie </w:t>
      </w:r>
      <w:r w:rsidRPr="002A4A90">
        <w:rPr>
          <w:rFonts w:ascii="Calibri" w:hAnsi="Calibri"/>
        </w:rPr>
        <w:t xml:space="preserve">ujęto </w:t>
      </w:r>
      <w:r w:rsidR="00D2164B" w:rsidRPr="002A4A90">
        <w:rPr>
          <w:rFonts w:ascii="Calibri" w:hAnsi="Calibri"/>
        </w:rPr>
        <w:t>mebli (</w:t>
      </w:r>
      <w:r w:rsidRPr="002A4A90">
        <w:rPr>
          <w:rFonts w:ascii="Calibri" w:hAnsi="Calibri"/>
        </w:rPr>
        <w:t>szafy aktowe</w:t>
      </w:r>
      <w:r w:rsidR="00D2164B" w:rsidRPr="002A4A90">
        <w:rPr>
          <w:rFonts w:ascii="Calibri" w:hAnsi="Calibri"/>
        </w:rPr>
        <w:t>)</w:t>
      </w:r>
      <w:r w:rsidRPr="002A4A90">
        <w:rPr>
          <w:rFonts w:ascii="Calibri" w:hAnsi="Calibri"/>
        </w:rPr>
        <w:t>, ale zakłada się, że ich zakup może wystąpić w latach 20</w:t>
      </w:r>
      <w:r w:rsidR="00D2164B" w:rsidRPr="002A4A90">
        <w:rPr>
          <w:rFonts w:ascii="Calibri" w:hAnsi="Calibri"/>
        </w:rPr>
        <w:t>18</w:t>
      </w:r>
      <w:r w:rsidRPr="002A4A90">
        <w:rPr>
          <w:rFonts w:ascii="Calibri" w:hAnsi="Calibri"/>
        </w:rPr>
        <w:t>-20</w:t>
      </w:r>
      <w:r w:rsidR="00D2164B" w:rsidRPr="002A4A90">
        <w:rPr>
          <w:rFonts w:ascii="Calibri" w:hAnsi="Calibri"/>
        </w:rPr>
        <w:t>20</w:t>
      </w:r>
      <w:r w:rsidR="00733F52">
        <w:rPr>
          <w:rFonts w:ascii="Calibri" w:hAnsi="Calibri"/>
        </w:rPr>
        <w:t xml:space="preserve"> ze względu na</w:t>
      </w:r>
      <w:r w:rsidRPr="002A4A90">
        <w:rPr>
          <w:rFonts w:ascii="Calibri" w:hAnsi="Calibri"/>
        </w:rPr>
        <w:t xml:space="preserve"> konieczność zarchiwizowania dokumentacji projektowej powstałej na skutek zakończenia realizacji projektów.</w:t>
      </w:r>
    </w:p>
    <w:p w:rsidR="00BD0B3E" w:rsidRPr="002A4A90" w:rsidRDefault="00BD0B3E" w:rsidP="002A4A90">
      <w:pPr>
        <w:jc w:val="both"/>
        <w:rPr>
          <w:rFonts w:ascii="Calibri" w:hAnsi="Calibri"/>
        </w:rPr>
      </w:pPr>
      <w:r w:rsidRPr="002A4A90">
        <w:rPr>
          <w:rFonts w:ascii="Calibri" w:hAnsi="Calibri"/>
        </w:rPr>
        <w:t>Źródła pozyskania danych:</w:t>
      </w:r>
    </w:p>
    <w:p w:rsidR="00BD0B3E" w:rsidRPr="002A4A90" w:rsidRDefault="00BD0B3E" w:rsidP="002A4A90">
      <w:pPr>
        <w:jc w:val="both"/>
        <w:rPr>
          <w:rFonts w:ascii="Calibri" w:hAnsi="Calibri"/>
        </w:rPr>
      </w:pPr>
      <w:r w:rsidRPr="002A4A90">
        <w:rPr>
          <w:rFonts w:ascii="Calibri" w:hAnsi="Calibri"/>
        </w:rPr>
        <w:t xml:space="preserve">w zakresie wynagrodzeń źródłem pozyskania danych </w:t>
      </w:r>
      <w:r w:rsidR="00AC5560">
        <w:rPr>
          <w:rFonts w:ascii="Calibri" w:hAnsi="Calibri"/>
        </w:rPr>
        <w:t>są</w:t>
      </w:r>
      <w:r w:rsidRPr="002A4A90">
        <w:rPr>
          <w:rFonts w:ascii="Calibri" w:hAnsi="Calibri"/>
        </w:rPr>
        <w:t xml:space="preserve">: </w:t>
      </w:r>
    </w:p>
    <w:p w:rsidR="00AC5560" w:rsidRPr="00AC5560" w:rsidRDefault="00BD0B3E" w:rsidP="00AC5560">
      <w:pPr>
        <w:pStyle w:val="Akapitzlist"/>
        <w:numPr>
          <w:ilvl w:val="0"/>
          <w:numId w:val="13"/>
        </w:numPr>
        <w:jc w:val="both"/>
        <w:rPr>
          <w:rFonts w:ascii="Calibri" w:hAnsi="Calibri"/>
        </w:rPr>
      </w:pPr>
      <w:r w:rsidRPr="00AC5560">
        <w:rPr>
          <w:rFonts w:ascii="Calibri" w:hAnsi="Calibri"/>
        </w:rPr>
        <w:t>portale płacowe,</w:t>
      </w:r>
      <w:r w:rsidR="00AC5560" w:rsidRPr="00AC5560">
        <w:rPr>
          <w:rFonts w:ascii="Calibri" w:hAnsi="Calibri"/>
        </w:rPr>
        <w:t xml:space="preserve"> tj.</w:t>
      </w:r>
      <w:r w:rsidR="00620A3F">
        <w:rPr>
          <w:rFonts w:ascii="Calibri" w:hAnsi="Calibri"/>
        </w:rPr>
        <w:t xml:space="preserve"> </w:t>
      </w:r>
      <w:r w:rsidR="00AC5560" w:rsidRPr="00AC5560">
        <w:t>(</w:t>
      </w:r>
      <w:hyperlink r:id="rId11" w:history="1">
        <w:r w:rsidR="00AC5560" w:rsidRPr="0091664D">
          <w:rPr>
            <w:rStyle w:val="Hipercze"/>
          </w:rPr>
          <w:t>www.wynagrodzenia.pl</w:t>
        </w:r>
      </w:hyperlink>
      <w:r w:rsidR="00AC5560" w:rsidRPr="00AC5560">
        <w:t xml:space="preserve">, </w:t>
      </w:r>
      <w:hyperlink r:id="rId12" w:history="1">
        <w:r w:rsidR="00342BFF" w:rsidRPr="00EE5D1D">
          <w:rPr>
            <w:rStyle w:val="Hipercze"/>
          </w:rPr>
          <w:t>www.firma.egospodarka.pl</w:t>
        </w:r>
      </w:hyperlink>
      <w:r w:rsidR="00342BFF">
        <w:t xml:space="preserve">, </w:t>
      </w:r>
      <w:hyperlink r:id="rId13" w:history="1">
        <w:r w:rsidR="00342BFF" w:rsidRPr="00EE5D1D">
          <w:rPr>
            <w:rStyle w:val="Hipercze"/>
          </w:rPr>
          <w:t>www.kariera.forbes.pl</w:t>
        </w:r>
      </w:hyperlink>
      <w:r w:rsidR="00AC5560">
        <w:t>)</w:t>
      </w:r>
      <w:r w:rsidR="002D67CA">
        <w:t xml:space="preserve">, w tym celu pozyskano z nich 10 ofert różnych stanowisk, np. </w:t>
      </w:r>
      <w:r w:rsidR="002D67CA" w:rsidRPr="00620A3F">
        <w:t>specjalista</w:t>
      </w:r>
      <w:r w:rsidR="001B5628" w:rsidRPr="00620A3F">
        <w:t xml:space="preserve"> rekrutacji i selekcji</w:t>
      </w:r>
      <w:r w:rsidR="002D67CA" w:rsidRPr="00620A3F">
        <w:t>,</w:t>
      </w:r>
      <w:r w:rsidR="00B55A2B" w:rsidRPr="00620A3F">
        <w:t xml:space="preserve"> </w:t>
      </w:r>
      <w:r w:rsidR="002D67CA" w:rsidRPr="00620A3F">
        <w:t xml:space="preserve"> specjalista ds. </w:t>
      </w:r>
      <w:r w:rsidR="00B55A2B" w:rsidRPr="00620A3F">
        <w:t>szkoleń,</w:t>
      </w:r>
      <w:r w:rsidR="002D67CA" w:rsidRPr="00620A3F">
        <w:t xml:space="preserve"> specjalista ds.</w:t>
      </w:r>
      <w:r w:rsidR="00B55A2B" w:rsidRPr="00620A3F">
        <w:t xml:space="preserve"> </w:t>
      </w:r>
      <w:r w:rsidR="000E0ADB" w:rsidRPr="00620A3F">
        <w:t>administracyjnych</w:t>
      </w:r>
      <w:r w:rsidR="00B55A2B" w:rsidRPr="00620A3F">
        <w:t>,</w:t>
      </w:r>
      <w:r w:rsidR="000E0ADB" w:rsidRPr="00620A3F">
        <w:t xml:space="preserve"> specjalista ds. wdrożeń</w:t>
      </w:r>
      <w:r w:rsidR="00B55A2B" w:rsidRPr="00620A3F">
        <w:t xml:space="preserve"> itp.</w:t>
      </w:r>
      <w:r w:rsidR="002D67CA">
        <w:t xml:space="preserve">  </w:t>
      </w:r>
    </w:p>
    <w:p w:rsidR="00AC5560" w:rsidRPr="00AC5560" w:rsidRDefault="00AC5560" w:rsidP="00AC5560">
      <w:pPr>
        <w:ind w:left="30"/>
        <w:jc w:val="both"/>
        <w:rPr>
          <w:rFonts w:ascii="Calibri" w:hAnsi="Calibri"/>
        </w:rPr>
      </w:pPr>
      <w:r w:rsidRPr="00AC5560">
        <w:rPr>
          <w:rFonts w:ascii="Calibri" w:hAnsi="Calibri"/>
        </w:rPr>
        <w:t>w zakre</w:t>
      </w:r>
      <w:r w:rsidR="008F4090">
        <w:rPr>
          <w:rFonts w:ascii="Calibri" w:hAnsi="Calibri"/>
        </w:rPr>
        <w:t>sie sprzętu komputerowego, zakupu materiałów</w:t>
      </w:r>
      <w:r w:rsidRPr="00AC5560">
        <w:rPr>
          <w:rFonts w:ascii="Calibri" w:hAnsi="Calibri"/>
        </w:rPr>
        <w:t xml:space="preserve"> i usług źródłem pozyskania danych są:</w:t>
      </w:r>
    </w:p>
    <w:p w:rsidR="00E9143A" w:rsidRPr="00E9143A" w:rsidRDefault="00E9143A" w:rsidP="00E9143A">
      <w:pPr>
        <w:pStyle w:val="Akapitzlist"/>
        <w:numPr>
          <w:ilvl w:val="0"/>
          <w:numId w:val="13"/>
        </w:numPr>
        <w:spacing w:line="240" w:lineRule="auto"/>
        <w:jc w:val="both"/>
        <w:rPr>
          <w:rFonts w:ascii="Calibri" w:hAnsi="Calibri"/>
        </w:rPr>
      </w:pPr>
      <w:r w:rsidRPr="00E9143A">
        <w:rPr>
          <w:rFonts w:ascii="Calibri" w:hAnsi="Calibri"/>
        </w:rPr>
        <w:t xml:space="preserve">10 ofert internetowych lub pozyskanych </w:t>
      </w:r>
      <w:r w:rsidR="00942605">
        <w:rPr>
          <w:rFonts w:ascii="Calibri" w:hAnsi="Calibri"/>
        </w:rPr>
        <w:t>dla konkretnie opisanego towaru/</w:t>
      </w:r>
      <w:r w:rsidRPr="00E9143A">
        <w:rPr>
          <w:rFonts w:ascii="Calibri" w:hAnsi="Calibri"/>
        </w:rPr>
        <w:t xml:space="preserve">usługi. </w:t>
      </w:r>
    </w:p>
    <w:p w:rsidR="007516B2" w:rsidRPr="00E9143A" w:rsidRDefault="00E9143A" w:rsidP="007516B2">
      <w:pPr>
        <w:spacing w:line="240" w:lineRule="auto"/>
        <w:ind w:left="30"/>
        <w:jc w:val="both"/>
        <w:rPr>
          <w:rFonts w:ascii="Calibri" w:hAnsi="Calibri"/>
        </w:rPr>
      </w:pPr>
      <w:r w:rsidRPr="00E9143A">
        <w:rPr>
          <w:rFonts w:ascii="Calibri" w:hAnsi="Calibri"/>
        </w:rPr>
        <w:t xml:space="preserve">Maksymalna dopuszczalna cena została wyliczona w sposób następujący: średnia cena rynkowa uzyskana z badania rynku </w:t>
      </w:r>
      <w:r w:rsidRPr="00E9143A">
        <w:rPr>
          <w:rFonts w:ascii="Calibri" w:hAnsi="Calibri"/>
          <w:color w:val="000000" w:themeColor="text1"/>
        </w:rPr>
        <w:t>(10 ofert),</w:t>
      </w:r>
      <w:r w:rsidRPr="00E9143A">
        <w:rPr>
          <w:rFonts w:ascii="Calibri" w:hAnsi="Calibri"/>
          <w:color w:val="FF0000"/>
        </w:rPr>
        <w:t xml:space="preserve"> </w:t>
      </w:r>
      <w:r w:rsidRPr="00E9143A">
        <w:rPr>
          <w:rFonts w:ascii="Calibri" w:hAnsi="Calibri"/>
        </w:rPr>
        <w:t>następnie kwota zaokrąglona w górę do pełnych złotych (przy kwotach od 1,00 zł do 99,00 zł), do pełnych dziesiątek złotych (przy kwotach od 100,00 zł do 999,00 zł) lub do pełnych setek złotych (przy kwotach od 1 000,00 zł). Wskazane maksymalne ceny są cenami brutto.</w:t>
      </w:r>
    </w:p>
    <w:p w:rsidR="00BD0B3E" w:rsidRPr="00672510" w:rsidRDefault="00BD0B3E" w:rsidP="002A4A90">
      <w:pPr>
        <w:jc w:val="both"/>
        <w:rPr>
          <w:rFonts w:ascii="Calibri" w:hAnsi="Calibri"/>
        </w:rPr>
      </w:pPr>
      <w:r w:rsidRPr="00672510">
        <w:rPr>
          <w:rFonts w:ascii="Calibri" w:hAnsi="Calibri"/>
        </w:rPr>
        <w:t>Katalog cen zost</w:t>
      </w:r>
      <w:r w:rsidR="00B937DD" w:rsidRPr="00672510">
        <w:rPr>
          <w:rFonts w:ascii="Calibri" w:hAnsi="Calibri"/>
        </w:rPr>
        <w:t>ał</w:t>
      </w:r>
      <w:r w:rsidRPr="00672510">
        <w:rPr>
          <w:rFonts w:ascii="Calibri" w:hAnsi="Calibri"/>
        </w:rPr>
        <w:t xml:space="preserve"> stworzony dla następujących kategorii wydatków:</w:t>
      </w:r>
    </w:p>
    <w:p w:rsidR="00BD0B3E" w:rsidRPr="002A4A90" w:rsidRDefault="00BD0B3E" w:rsidP="002A4A90">
      <w:pPr>
        <w:pStyle w:val="Akapitzlist"/>
        <w:numPr>
          <w:ilvl w:val="0"/>
          <w:numId w:val="12"/>
        </w:numPr>
        <w:jc w:val="both"/>
      </w:pPr>
      <w:r w:rsidRPr="00B94A74">
        <w:rPr>
          <w:rFonts w:ascii="Calibri" w:hAnsi="Calibri"/>
        </w:rPr>
        <w:t>personelu projektu, w tym</w:t>
      </w:r>
      <w:r w:rsidRPr="002A4A90">
        <w:t xml:space="preserve">: </w:t>
      </w:r>
      <w:r w:rsidR="00B937DD" w:rsidRPr="00B94A74">
        <w:rPr>
          <w:rFonts w:cstheme="minorHAnsi"/>
          <w:color w:val="000000"/>
        </w:rPr>
        <w:t>wynagrodzenie specjalisty ds. zadań merytorycznych</w:t>
      </w:r>
      <w:r w:rsidR="001F4557">
        <w:rPr>
          <w:rFonts w:cstheme="minorHAnsi"/>
          <w:color w:val="000000"/>
        </w:rPr>
        <w:t>,</w:t>
      </w:r>
    </w:p>
    <w:p w:rsidR="00BD0B3E" w:rsidRPr="002A4A90" w:rsidRDefault="00BD0B3E" w:rsidP="002A4A90">
      <w:pPr>
        <w:pStyle w:val="Akapitzlist"/>
        <w:numPr>
          <w:ilvl w:val="0"/>
          <w:numId w:val="12"/>
        </w:numPr>
        <w:jc w:val="both"/>
        <w:rPr>
          <w:rFonts w:ascii="Calibri" w:hAnsi="Calibri"/>
        </w:rPr>
      </w:pPr>
      <w:r w:rsidRPr="002A4A90">
        <w:rPr>
          <w:rFonts w:ascii="Calibri" w:hAnsi="Calibri"/>
        </w:rPr>
        <w:t>cateringu</w:t>
      </w:r>
      <w:r w:rsidR="00B937DD" w:rsidRPr="002A4A90">
        <w:rPr>
          <w:rFonts w:ascii="Calibri" w:hAnsi="Calibri"/>
        </w:rPr>
        <w:t>,</w:t>
      </w:r>
    </w:p>
    <w:p w:rsidR="00BD0B3E" w:rsidRPr="002A4A90" w:rsidRDefault="00B937DD" w:rsidP="002A4A90">
      <w:pPr>
        <w:pStyle w:val="Akapitzlist"/>
        <w:numPr>
          <w:ilvl w:val="0"/>
          <w:numId w:val="12"/>
        </w:numPr>
        <w:jc w:val="both"/>
        <w:rPr>
          <w:rFonts w:ascii="Calibri" w:hAnsi="Calibri"/>
        </w:rPr>
      </w:pPr>
      <w:r w:rsidRPr="002A4A90">
        <w:rPr>
          <w:rFonts w:ascii="Calibri" w:hAnsi="Calibri"/>
        </w:rPr>
        <w:t>zakupu sprzętu komputerowego,</w:t>
      </w:r>
    </w:p>
    <w:p w:rsidR="00B937DD" w:rsidRDefault="00F975FD" w:rsidP="002A4A90">
      <w:pPr>
        <w:pStyle w:val="Akapitzlist"/>
        <w:numPr>
          <w:ilvl w:val="0"/>
          <w:numId w:val="12"/>
        </w:numPr>
        <w:jc w:val="both"/>
        <w:rPr>
          <w:rFonts w:ascii="Calibri" w:hAnsi="Calibri"/>
        </w:rPr>
      </w:pPr>
      <w:r>
        <w:rPr>
          <w:rFonts w:ascii="Calibri" w:hAnsi="Calibri"/>
        </w:rPr>
        <w:t>wynajęcie sal,</w:t>
      </w:r>
    </w:p>
    <w:p w:rsidR="00F975FD" w:rsidRDefault="00F975FD" w:rsidP="002A4A90">
      <w:pPr>
        <w:pStyle w:val="Akapitzlist"/>
        <w:numPr>
          <w:ilvl w:val="0"/>
          <w:numId w:val="12"/>
        </w:numPr>
        <w:jc w:val="both"/>
        <w:rPr>
          <w:rFonts w:ascii="Calibri" w:hAnsi="Calibri"/>
        </w:rPr>
      </w:pPr>
      <w:r>
        <w:rPr>
          <w:rFonts w:ascii="Calibri" w:hAnsi="Calibri"/>
        </w:rPr>
        <w:t xml:space="preserve">materiały </w:t>
      </w:r>
      <w:r w:rsidR="00E93EFA">
        <w:rPr>
          <w:rFonts w:ascii="Calibri" w:hAnsi="Calibri"/>
        </w:rPr>
        <w:t>warsztatowe, seminaryjne</w:t>
      </w:r>
      <w:r w:rsidR="00AC5560">
        <w:rPr>
          <w:rFonts w:ascii="Calibri" w:hAnsi="Calibri"/>
        </w:rPr>
        <w:t>,</w:t>
      </w:r>
    </w:p>
    <w:p w:rsidR="00F975FD" w:rsidRDefault="00F975FD" w:rsidP="002A4A90">
      <w:pPr>
        <w:pStyle w:val="Akapitzlist"/>
        <w:numPr>
          <w:ilvl w:val="0"/>
          <w:numId w:val="12"/>
        </w:numPr>
        <w:jc w:val="both"/>
        <w:rPr>
          <w:rFonts w:ascii="Calibri" w:hAnsi="Calibri"/>
        </w:rPr>
      </w:pPr>
      <w:r>
        <w:rPr>
          <w:rFonts w:ascii="Calibri" w:hAnsi="Calibri"/>
        </w:rPr>
        <w:t>noclegi,</w:t>
      </w:r>
    </w:p>
    <w:p w:rsidR="00E069F6" w:rsidRPr="00DB6E25" w:rsidRDefault="00C2014E" w:rsidP="00DB6E25">
      <w:pPr>
        <w:pStyle w:val="Akapitzlist"/>
        <w:numPr>
          <w:ilvl w:val="0"/>
          <w:numId w:val="12"/>
        </w:numPr>
        <w:jc w:val="both"/>
        <w:rPr>
          <w:rFonts w:ascii="Calibri" w:hAnsi="Calibri"/>
        </w:rPr>
      </w:pPr>
      <w:r>
        <w:rPr>
          <w:rFonts w:ascii="Calibri" w:hAnsi="Calibri"/>
        </w:rPr>
        <w:t>zwrot kosztów dojazdów, czy delegacje służbowe.</w:t>
      </w:r>
    </w:p>
    <w:p w:rsidR="00105F1C" w:rsidRPr="002474BD" w:rsidRDefault="00105F1C" w:rsidP="00105F1C">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Tabela 1</w:t>
      </w:r>
      <w:r w:rsidRPr="002474BD">
        <w:rPr>
          <w:rFonts w:eastAsia="Calibri" w:cs="Times New Roman"/>
          <w:b/>
          <w:color w:val="000000" w:themeColor="text1"/>
          <w:sz w:val="24"/>
          <w:szCs w:val="24"/>
          <w:lang w:eastAsia="en-US"/>
        </w:rPr>
        <w:t>.</w:t>
      </w:r>
    </w:p>
    <w:tbl>
      <w:tblPr>
        <w:tblW w:w="496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3899"/>
        <w:gridCol w:w="2126"/>
        <w:gridCol w:w="3117"/>
      </w:tblGrid>
      <w:tr w:rsidR="00105F1C" w:rsidRPr="005E6CAE" w:rsidTr="00105F1C">
        <w:trPr>
          <w:trHeight w:val="536"/>
        </w:trPr>
        <w:tc>
          <w:tcPr>
            <w:tcW w:w="5000" w:type="pct"/>
            <w:gridSpan w:val="3"/>
            <w:shd w:val="clear" w:color="auto" w:fill="BFBFBF"/>
            <w:noWrap/>
            <w:vAlign w:val="center"/>
            <w:hideMark/>
          </w:tcPr>
          <w:p w:rsidR="00105F1C" w:rsidRPr="005E6CAE" w:rsidRDefault="00105F1C" w:rsidP="00105F1C">
            <w:pPr>
              <w:spacing w:after="0" w:line="240" w:lineRule="auto"/>
              <w:jc w:val="center"/>
              <w:rPr>
                <w:rFonts w:eastAsia="Times New Roman" w:cstheme="minorHAnsi"/>
                <w:b/>
                <w:color w:val="000000"/>
              </w:rPr>
            </w:pPr>
            <w:r w:rsidRPr="005E6CAE">
              <w:rPr>
                <w:rFonts w:eastAsia="Times New Roman" w:cstheme="minorHAnsi"/>
                <w:b/>
                <w:color w:val="000000"/>
              </w:rPr>
              <w:t xml:space="preserve">SPRZĘT </w:t>
            </w:r>
            <w:r>
              <w:rPr>
                <w:rFonts w:eastAsia="Times New Roman" w:cstheme="minorHAnsi"/>
                <w:b/>
                <w:color w:val="000000"/>
              </w:rPr>
              <w:t>KOMPUTEROWY</w:t>
            </w:r>
          </w:p>
        </w:tc>
      </w:tr>
      <w:tr w:rsidR="00105F1C" w:rsidRPr="005E6CAE" w:rsidTr="00105F1C">
        <w:trPr>
          <w:trHeight w:val="420"/>
        </w:trPr>
        <w:tc>
          <w:tcPr>
            <w:tcW w:w="2132" w:type="pct"/>
            <w:shd w:val="clear" w:color="auto" w:fill="D9D9D9"/>
            <w:noWrap/>
            <w:vAlign w:val="center"/>
            <w:hideMark/>
          </w:tcPr>
          <w:p w:rsidR="00105F1C" w:rsidRPr="005E6CAE" w:rsidRDefault="00105F1C" w:rsidP="00105F1C">
            <w:pPr>
              <w:spacing w:after="0" w:line="240" w:lineRule="auto"/>
              <w:jc w:val="center"/>
              <w:rPr>
                <w:rFonts w:eastAsia="Times New Roman" w:cstheme="minorHAnsi"/>
                <w:b/>
                <w:color w:val="000000"/>
              </w:rPr>
            </w:pPr>
            <w:r>
              <w:rPr>
                <w:rFonts w:eastAsia="Times New Roman" w:cstheme="minorHAnsi"/>
                <w:b/>
                <w:color w:val="000000"/>
              </w:rPr>
              <w:t>R</w:t>
            </w:r>
            <w:r w:rsidRPr="005E6CAE">
              <w:rPr>
                <w:rFonts w:eastAsia="Times New Roman" w:cstheme="minorHAnsi"/>
                <w:b/>
                <w:color w:val="000000"/>
              </w:rPr>
              <w:t xml:space="preserve">odzaj </w:t>
            </w:r>
            <w:r w:rsidR="00497035">
              <w:rPr>
                <w:rFonts w:eastAsia="Times New Roman" w:cstheme="minorHAnsi"/>
                <w:b/>
                <w:color w:val="000000"/>
              </w:rPr>
              <w:t>wydatku</w:t>
            </w:r>
          </w:p>
        </w:tc>
        <w:tc>
          <w:tcPr>
            <w:tcW w:w="1163" w:type="pct"/>
            <w:shd w:val="clear" w:color="auto" w:fill="D9D9D9"/>
            <w:vAlign w:val="center"/>
            <w:hideMark/>
          </w:tcPr>
          <w:p w:rsidR="00105F1C" w:rsidRPr="005E6CAE" w:rsidRDefault="00105F1C" w:rsidP="00105F1C">
            <w:pPr>
              <w:spacing w:after="0" w:line="240" w:lineRule="auto"/>
              <w:jc w:val="center"/>
              <w:rPr>
                <w:rFonts w:eastAsia="Times New Roman" w:cstheme="minorHAnsi"/>
                <w:b/>
                <w:color w:val="000000"/>
              </w:rPr>
            </w:pPr>
            <w:r>
              <w:rPr>
                <w:rFonts w:eastAsia="Times New Roman" w:cstheme="minorHAnsi"/>
                <w:b/>
                <w:color w:val="000000"/>
              </w:rPr>
              <w:t>Jednostka</w:t>
            </w:r>
          </w:p>
        </w:tc>
        <w:tc>
          <w:tcPr>
            <w:tcW w:w="1705" w:type="pct"/>
            <w:shd w:val="clear" w:color="auto" w:fill="D9D9D9"/>
          </w:tcPr>
          <w:p w:rsidR="00105F1C" w:rsidRDefault="00105F1C" w:rsidP="00105F1C">
            <w:pPr>
              <w:spacing w:after="0" w:line="240" w:lineRule="auto"/>
              <w:jc w:val="center"/>
              <w:rPr>
                <w:rFonts w:eastAsia="Times New Roman" w:cstheme="minorHAnsi"/>
                <w:b/>
                <w:color w:val="000000"/>
              </w:rPr>
            </w:pPr>
            <w:r>
              <w:rPr>
                <w:rFonts w:eastAsia="Times New Roman" w:cstheme="minorHAnsi"/>
                <w:b/>
                <w:color w:val="000000"/>
              </w:rPr>
              <w:t>Maksymalny dopuszczalny koszt (w złotych brutto)</w:t>
            </w:r>
          </w:p>
        </w:tc>
      </w:tr>
      <w:tr w:rsidR="00105F1C" w:rsidRPr="00CE268B" w:rsidTr="00105F1C">
        <w:trPr>
          <w:trHeight w:val="456"/>
        </w:trPr>
        <w:tc>
          <w:tcPr>
            <w:tcW w:w="2132" w:type="pct"/>
            <w:shd w:val="clear" w:color="auto" w:fill="FFFFFF"/>
            <w:noWrap/>
            <w:vAlign w:val="center"/>
            <w:hideMark/>
          </w:tcPr>
          <w:p w:rsidR="00105F1C" w:rsidRPr="00CE268B" w:rsidRDefault="00925D14" w:rsidP="00105F1C">
            <w:pPr>
              <w:rPr>
                <w:rFonts w:cstheme="minorHAnsi"/>
              </w:rPr>
            </w:pPr>
            <w:r>
              <w:rPr>
                <w:rFonts w:cstheme="minorHAnsi"/>
              </w:rPr>
              <w:t xml:space="preserve">Komputer z </w:t>
            </w:r>
            <w:r w:rsidRPr="00CE268B">
              <w:rPr>
                <w:rFonts w:cstheme="minorHAnsi"/>
              </w:rPr>
              <w:t>oprogramowaniem</w:t>
            </w:r>
          </w:p>
        </w:tc>
        <w:tc>
          <w:tcPr>
            <w:tcW w:w="1163" w:type="pct"/>
            <w:shd w:val="clear" w:color="auto" w:fill="FFFFFF"/>
            <w:vAlign w:val="center"/>
          </w:tcPr>
          <w:p w:rsidR="00105F1C" w:rsidRPr="00CE268B" w:rsidRDefault="00105F1C" w:rsidP="00105F1C">
            <w:pPr>
              <w:spacing w:line="480" w:lineRule="auto"/>
              <w:jc w:val="center"/>
              <w:rPr>
                <w:rFonts w:cstheme="minorHAnsi"/>
              </w:rPr>
            </w:pPr>
            <w:r w:rsidRPr="00CE268B">
              <w:rPr>
                <w:rFonts w:cstheme="minorHAnsi"/>
              </w:rPr>
              <w:t>Sztuka</w:t>
            </w:r>
          </w:p>
        </w:tc>
        <w:tc>
          <w:tcPr>
            <w:tcW w:w="1705" w:type="pct"/>
            <w:shd w:val="clear" w:color="auto" w:fill="FFFFFF"/>
            <w:vAlign w:val="center"/>
          </w:tcPr>
          <w:p w:rsidR="00105F1C" w:rsidRPr="00CE268B" w:rsidRDefault="00105F1C" w:rsidP="00105F1C">
            <w:pPr>
              <w:spacing w:after="0" w:line="480" w:lineRule="auto"/>
              <w:jc w:val="right"/>
              <w:rPr>
                <w:rFonts w:cstheme="minorHAnsi"/>
              </w:rPr>
            </w:pPr>
            <w:r w:rsidRPr="00873732">
              <w:rPr>
                <w:rFonts w:cstheme="minorHAnsi"/>
              </w:rPr>
              <w:t>3 500,00 zł</w:t>
            </w:r>
          </w:p>
        </w:tc>
      </w:tr>
      <w:tr w:rsidR="00105F1C" w:rsidRPr="00CE268B" w:rsidTr="00105F1C">
        <w:trPr>
          <w:trHeight w:val="410"/>
        </w:trPr>
        <w:tc>
          <w:tcPr>
            <w:tcW w:w="2132" w:type="pct"/>
            <w:shd w:val="clear" w:color="auto" w:fill="FFFFFF"/>
            <w:noWrap/>
            <w:vAlign w:val="center"/>
            <w:hideMark/>
          </w:tcPr>
          <w:p w:rsidR="00105F1C" w:rsidRPr="00CE268B" w:rsidRDefault="00925D14" w:rsidP="00105F1C">
            <w:pPr>
              <w:rPr>
                <w:rFonts w:cstheme="minorHAnsi"/>
              </w:rPr>
            </w:pPr>
            <w:r>
              <w:rPr>
                <w:rFonts w:cstheme="minorHAnsi"/>
              </w:rPr>
              <w:t>Laptop z oprogramowaniem</w:t>
            </w:r>
          </w:p>
        </w:tc>
        <w:tc>
          <w:tcPr>
            <w:tcW w:w="1163" w:type="pct"/>
            <w:shd w:val="clear" w:color="auto" w:fill="FFFFFF"/>
            <w:vAlign w:val="center"/>
          </w:tcPr>
          <w:p w:rsidR="00105F1C" w:rsidRPr="00CE268B" w:rsidRDefault="00105F1C" w:rsidP="00105F1C">
            <w:pPr>
              <w:spacing w:line="480" w:lineRule="auto"/>
              <w:jc w:val="center"/>
              <w:rPr>
                <w:rFonts w:cstheme="minorHAnsi"/>
              </w:rPr>
            </w:pPr>
            <w:r w:rsidRPr="00CE268B">
              <w:rPr>
                <w:rFonts w:cstheme="minorHAnsi"/>
              </w:rPr>
              <w:t>Sztuka</w:t>
            </w:r>
          </w:p>
        </w:tc>
        <w:tc>
          <w:tcPr>
            <w:tcW w:w="1705" w:type="pct"/>
            <w:shd w:val="clear" w:color="auto" w:fill="FFFFFF"/>
            <w:vAlign w:val="center"/>
          </w:tcPr>
          <w:p w:rsidR="00105F1C" w:rsidRPr="00CE268B" w:rsidRDefault="00105F1C" w:rsidP="00105F1C">
            <w:pPr>
              <w:spacing w:line="480" w:lineRule="auto"/>
              <w:jc w:val="right"/>
              <w:rPr>
                <w:rFonts w:cstheme="minorHAnsi"/>
              </w:rPr>
            </w:pPr>
            <w:r w:rsidRPr="00873732">
              <w:rPr>
                <w:rFonts w:cstheme="minorHAnsi"/>
              </w:rPr>
              <w:t>3 500,00 zł</w:t>
            </w:r>
          </w:p>
        </w:tc>
      </w:tr>
    </w:tbl>
    <w:p w:rsidR="005A65E4" w:rsidRPr="00A34760" w:rsidRDefault="005A65E4" w:rsidP="005A65E4">
      <w:pPr>
        <w:spacing w:after="0" w:line="240" w:lineRule="auto"/>
        <w:jc w:val="both"/>
        <w:rPr>
          <w:rFonts w:ascii="Calibri" w:eastAsia="Calibri" w:hAnsi="Calibri" w:cs="Times New Roman"/>
          <w:sz w:val="20"/>
          <w:szCs w:val="20"/>
        </w:rPr>
      </w:pPr>
      <w:r w:rsidRPr="00A34760">
        <w:rPr>
          <w:rFonts w:ascii="Calibri" w:eastAsia="Calibri" w:hAnsi="Calibri" w:cs="Times New Roman"/>
          <w:sz w:val="20"/>
          <w:szCs w:val="20"/>
        </w:rPr>
        <w:t xml:space="preserve">Wydatki te co do zasady nie powinny być </w:t>
      </w:r>
      <w:proofErr w:type="spellStart"/>
      <w:r w:rsidRPr="00A34760">
        <w:rPr>
          <w:rFonts w:ascii="Calibri" w:eastAsia="Calibri" w:hAnsi="Calibri" w:cs="Times New Roman"/>
          <w:sz w:val="20"/>
          <w:szCs w:val="20"/>
        </w:rPr>
        <w:t>kwalifikowalne</w:t>
      </w:r>
      <w:proofErr w:type="spellEnd"/>
      <w:r w:rsidRPr="00A34760">
        <w:rPr>
          <w:rFonts w:ascii="Calibri" w:eastAsia="Calibri" w:hAnsi="Calibri" w:cs="Times New Roman"/>
          <w:sz w:val="20"/>
          <w:szCs w:val="20"/>
        </w:rPr>
        <w:t xml:space="preserve"> w ramach projektów, chyba, że jest to niezbędny sprzęt do realizacji konkretnego zakresu merytorycznego danego zadania. Niezbędność tych zakupów wynika np. ze specyfiki wsparcia oferowanego w projekcie, wielkości grupy docelowej, a konieczność zakupu tego sprzętu została uzasadniona we wniosku o dofinansowanie. </w:t>
      </w:r>
    </w:p>
    <w:p w:rsidR="005A65E4" w:rsidRDefault="005A65E4" w:rsidP="005A65E4">
      <w:pPr>
        <w:spacing w:after="0" w:line="240" w:lineRule="auto"/>
        <w:jc w:val="both"/>
        <w:rPr>
          <w:rFonts w:ascii="Calibri" w:eastAsia="Calibri" w:hAnsi="Calibri" w:cs="Times New Roman"/>
          <w:sz w:val="20"/>
          <w:szCs w:val="20"/>
        </w:rPr>
      </w:pPr>
    </w:p>
    <w:p w:rsidR="005A65E4" w:rsidRDefault="005A65E4" w:rsidP="005A65E4">
      <w:pPr>
        <w:pStyle w:val="Zwykytekst"/>
        <w:spacing w:after="120"/>
        <w:jc w:val="both"/>
        <w:rPr>
          <w:rFonts w:ascii="Calibri" w:hAnsi="Calibri"/>
          <w:sz w:val="20"/>
          <w:szCs w:val="20"/>
        </w:rPr>
      </w:pPr>
      <w:r w:rsidRPr="004D77C0">
        <w:rPr>
          <w:rFonts w:ascii="Calibri" w:hAnsi="Calibri"/>
          <w:sz w:val="20"/>
          <w:szCs w:val="20"/>
        </w:rPr>
        <w:t xml:space="preserve">Wnioskodawca decydując się na realizację projektu powinien posiadać urządzenia techniczne umożliwiające przeprowadzenie </w:t>
      </w:r>
      <w:r>
        <w:rPr>
          <w:rFonts w:ascii="Calibri" w:hAnsi="Calibri"/>
          <w:sz w:val="20"/>
          <w:szCs w:val="20"/>
        </w:rPr>
        <w:t>zaplanowanych form wsparcia</w:t>
      </w:r>
      <w:r w:rsidRPr="004D77C0">
        <w:rPr>
          <w:rFonts w:ascii="Calibri" w:hAnsi="Calibri"/>
          <w:sz w:val="20"/>
          <w:szCs w:val="20"/>
        </w:rPr>
        <w:t>.</w:t>
      </w:r>
      <w:r>
        <w:rPr>
          <w:rFonts w:ascii="Calibri" w:hAnsi="Calibri"/>
          <w:sz w:val="20"/>
          <w:szCs w:val="20"/>
        </w:rPr>
        <w:t xml:space="preserve">                                                                                                                           </w:t>
      </w:r>
    </w:p>
    <w:p w:rsidR="005A65E4" w:rsidRDefault="005A65E4" w:rsidP="005A65E4">
      <w:pPr>
        <w:pStyle w:val="Zwykytekst"/>
        <w:spacing w:after="120"/>
        <w:jc w:val="both"/>
        <w:rPr>
          <w:rFonts w:ascii="Calibri" w:hAnsi="Calibri"/>
          <w:sz w:val="20"/>
          <w:szCs w:val="20"/>
        </w:rPr>
      </w:pPr>
      <w:r w:rsidRPr="00933E07">
        <w:rPr>
          <w:rFonts w:ascii="Calibri" w:hAnsi="Calibri"/>
          <w:sz w:val="20"/>
          <w:szCs w:val="20"/>
        </w:rPr>
        <w:t>W wyjątkowych przypadkach, gdy Wnioskodawca nie posiada wystarczającego zaplecza</w:t>
      </w:r>
      <w:r w:rsidRPr="00933E07">
        <w:rPr>
          <w:sz w:val="20"/>
          <w:szCs w:val="20"/>
        </w:rPr>
        <w:t xml:space="preserve"> technicznego </w:t>
      </w:r>
      <w:r>
        <w:rPr>
          <w:sz w:val="20"/>
          <w:szCs w:val="20"/>
        </w:rPr>
        <w:t xml:space="preserve">                 </w:t>
      </w:r>
      <w:r w:rsidRPr="00933E07">
        <w:rPr>
          <w:rFonts w:ascii="Calibri" w:hAnsi="Calibri"/>
          <w:sz w:val="20"/>
          <w:szCs w:val="20"/>
        </w:rPr>
        <w:t>i urządzenia te są</w:t>
      </w:r>
      <w:r>
        <w:rPr>
          <w:rFonts w:ascii="Calibri" w:hAnsi="Calibri"/>
          <w:sz w:val="20"/>
          <w:szCs w:val="20"/>
        </w:rPr>
        <w:t xml:space="preserve"> niezbędne do prowadzenia zajęć</w:t>
      </w:r>
      <w:r w:rsidRPr="00933E07">
        <w:rPr>
          <w:rFonts w:ascii="Calibri" w:hAnsi="Calibri"/>
          <w:sz w:val="20"/>
          <w:szCs w:val="20"/>
        </w:rPr>
        <w:t xml:space="preserve">, wydatek należy uznać za </w:t>
      </w:r>
      <w:proofErr w:type="spellStart"/>
      <w:r w:rsidRPr="00933E07">
        <w:rPr>
          <w:rFonts w:ascii="Calibri" w:hAnsi="Calibri"/>
          <w:sz w:val="20"/>
          <w:szCs w:val="20"/>
        </w:rPr>
        <w:t>kwalifikowalny</w:t>
      </w:r>
      <w:proofErr w:type="spellEnd"/>
      <w:r w:rsidRPr="00933E07">
        <w:rPr>
          <w:rFonts w:ascii="Calibri" w:hAnsi="Calibri"/>
          <w:sz w:val="20"/>
          <w:szCs w:val="20"/>
        </w:rPr>
        <w:t>.</w:t>
      </w:r>
    </w:p>
    <w:p w:rsidR="005A65E4" w:rsidRPr="003577D5" w:rsidRDefault="005A65E4" w:rsidP="005A65E4">
      <w:pPr>
        <w:pStyle w:val="Zwykytekst"/>
        <w:spacing w:after="120"/>
        <w:jc w:val="both"/>
        <w:rPr>
          <w:rFonts w:asciiTheme="minorHAnsi" w:hAnsiTheme="minorHAnsi"/>
          <w:sz w:val="20"/>
          <w:szCs w:val="20"/>
        </w:rPr>
      </w:pPr>
      <w:r w:rsidRPr="003577D5">
        <w:rPr>
          <w:rFonts w:asciiTheme="minorHAnsi" w:hAnsiTheme="minorHAnsi"/>
          <w:sz w:val="20"/>
          <w:szCs w:val="20"/>
        </w:rPr>
        <w:t>Koszt laptopa/komputera obejmuje zakup systemu operacyjnego, oprogramowania Microsoft Office                                  i oprogramowania antywirusowego. Cena rynkowa powinna być uzależniona od rodzaju komputera/laptopa i jest niższa, jeśli finansowany jest mniejszy zakres (np. zakup komputera/laptopa z systemem operacyjnym                                  i oprogramowaniem antywirusowym, ale bez oprogramowania Microsoft Office).</w:t>
      </w:r>
    </w:p>
    <w:p w:rsidR="005A65E4" w:rsidRPr="004D77C0" w:rsidRDefault="005A65E4" w:rsidP="005A65E4">
      <w:pPr>
        <w:spacing w:after="0" w:line="240" w:lineRule="auto"/>
        <w:jc w:val="both"/>
        <w:rPr>
          <w:rFonts w:ascii="Calibri" w:eastAsia="Calibri" w:hAnsi="Calibri" w:cs="Times New Roman"/>
          <w:sz w:val="20"/>
          <w:szCs w:val="20"/>
        </w:rPr>
      </w:pPr>
    </w:p>
    <w:p w:rsidR="005A65E4" w:rsidRPr="004C509B" w:rsidRDefault="005A65E4" w:rsidP="005A65E4">
      <w:pPr>
        <w:spacing w:after="0" w:line="240" w:lineRule="auto"/>
        <w:jc w:val="both"/>
        <w:rPr>
          <w:rFonts w:eastAsia="Calibri" w:cs="Times New Roman"/>
          <w:sz w:val="20"/>
          <w:szCs w:val="20"/>
        </w:rPr>
      </w:pPr>
      <w:r w:rsidRPr="004C509B">
        <w:rPr>
          <w:rFonts w:eastAsia="Calibri" w:cs="Times New Roman"/>
          <w:sz w:val="20"/>
          <w:szCs w:val="20"/>
        </w:rPr>
        <w:t xml:space="preserve">Wyposażenie stanowiska pracy personelu projektu (z wyłączeniem personelu, który zgodnie z </w:t>
      </w:r>
      <w:r w:rsidRPr="004C509B">
        <w:rPr>
          <w:i/>
          <w:sz w:val="20"/>
          <w:szCs w:val="20"/>
          <w:shd w:val="clear" w:color="auto" w:fill="FFFFFF"/>
        </w:rPr>
        <w:t xml:space="preserve">Wytycznymi </w:t>
      </w:r>
      <w:r w:rsidRPr="004C509B">
        <w:rPr>
          <w:i/>
          <w:sz w:val="20"/>
          <w:szCs w:val="20"/>
          <w:shd w:val="clear" w:color="auto" w:fill="FFFFFF"/>
        </w:rPr>
        <w:br/>
        <w:t>w zakresie kwalifikowalności wydatków w ramach Europejskiego Funduszu Rozwoju Regionalnego, Europejskiego Funduszu Społecznego oraz Funduszu Spójności na lata 2014-2020</w:t>
      </w:r>
      <w:r w:rsidRPr="004C509B">
        <w:rPr>
          <w:sz w:val="20"/>
          <w:szCs w:val="20"/>
        </w:rPr>
        <w:t xml:space="preserve"> </w:t>
      </w:r>
      <w:r w:rsidRPr="004C509B">
        <w:rPr>
          <w:rFonts w:eastAsia="Calibri" w:cs="Times New Roman"/>
          <w:sz w:val="20"/>
          <w:szCs w:val="20"/>
        </w:rPr>
        <w:t xml:space="preserve">ujęty jest w kosztach pośrednich) jest </w:t>
      </w:r>
      <w:proofErr w:type="spellStart"/>
      <w:r w:rsidRPr="004C509B">
        <w:rPr>
          <w:rFonts w:eastAsia="Calibri" w:cs="Times New Roman"/>
          <w:sz w:val="20"/>
          <w:szCs w:val="20"/>
        </w:rPr>
        <w:t>kwalifikowalne</w:t>
      </w:r>
      <w:proofErr w:type="spellEnd"/>
      <w:r w:rsidRPr="004C509B">
        <w:rPr>
          <w:rFonts w:eastAsia="Calibri" w:cs="Times New Roman"/>
          <w:sz w:val="20"/>
          <w:szCs w:val="20"/>
        </w:rPr>
        <w:t xml:space="preserve"> w przypadku spełnienia łącznie następujących warunków:</w:t>
      </w:r>
    </w:p>
    <w:p w:rsidR="005A65E4" w:rsidRPr="004C509B" w:rsidRDefault="005A65E4" w:rsidP="005A65E4">
      <w:pPr>
        <w:pStyle w:val="Akapitzlist"/>
        <w:numPr>
          <w:ilvl w:val="0"/>
          <w:numId w:val="2"/>
        </w:numPr>
        <w:spacing w:after="0" w:line="240" w:lineRule="auto"/>
        <w:jc w:val="both"/>
        <w:rPr>
          <w:rFonts w:eastAsia="Calibri" w:cs="Times New Roman"/>
          <w:sz w:val="20"/>
          <w:szCs w:val="20"/>
        </w:rPr>
      </w:pPr>
      <w:r w:rsidRPr="004C509B">
        <w:rPr>
          <w:rFonts w:eastAsia="Calibri" w:cs="Times New Roman"/>
          <w:sz w:val="20"/>
          <w:szCs w:val="20"/>
        </w:rPr>
        <w:t>Personel projektu, dla którego przeznaczone jest wyposażenie stanowiska pracy zatrudniony jest na podstawie stosunku pracy w wymiarze co najmniej ½ etatu. W przypadku personelu projektu zaangażowanego na podstawie stosunku pracy w wymiarze poniżej ½ etatu lub na podstawie innych form zaangażowania, koszty związane z wyposażeniem stanowiska pracy personelu projektu są niekwalifikowane.</w:t>
      </w:r>
    </w:p>
    <w:p w:rsidR="005A65E4" w:rsidRDefault="005A65E4" w:rsidP="005A65E4">
      <w:pPr>
        <w:pStyle w:val="Akapitzlist"/>
        <w:numPr>
          <w:ilvl w:val="0"/>
          <w:numId w:val="2"/>
        </w:numPr>
        <w:spacing w:after="0" w:line="240" w:lineRule="auto"/>
        <w:jc w:val="both"/>
        <w:rPr>
          <w:rFonts w:eastAsia="Calibri" w:cs="Times New Roman"/>
          <w:sz w:val="20"/>
          <w:szCs w:val="20"/>
        </w:rPr>
      </w:pPr>
      <w:r w:rsidRPr="004C509B">
        <w:rPr>
          <w:rFonts w:eastAsia="Calibri" w:cs="Times New Roman"/>
          <w:sz w:val="20"/>
          <w:szCs w:val="20"/>
        </w:rPr>
        <w:t xml:space="preserve">Wydatki na wyposażenie stanowiska pracy mogą być uznane za kwalifikowane pod warunkiem ich bezpośredniego wskazania we wniosku o dofinansowanie wraz z uzasadnieniem dla konieczności ich zakupu. </w:t>
      </w:r>
    </w:p>
    <w:p w:rsidR="007516B2" w:rsidRDefault="007516B2" w:rsidP="007516B2">
      <w:pPr>
        <w:pStyle w:val="Akapitzlist"/>
        <w:spacing w:after="0" w:line="240" w:lineRule="auto"/>
        <w:jc w:val="both"/>
        <w:rPr>
          <w:rFonts w:eastAsia="Calibri" w:cs="Times New Roman"/>
          <w:sz w:val="20"/>
          <w:szCs w:val="20"/>
        </w:rPr>
      </w:pPr>
    </w:p>
    <w:p w:rsidR="007516B2" w:rsidRDefault="007516B2" w:rsidP="007516B2">
      <w:pPr>
        <w:pStyle w:val="Akapitzlist"/>
        <w:spacing w:after="0" w:line="240" w:lineRule="auto"/>
        <w:jc w:val="both"/>
        <w:rPr>
          <w:rFonts w:eastAsia="Calibri" w:cs="Times New Roman"/>
          <w:sz w:val="20"/>
          <w:szCs w:val="20"/>
        </w:rPr>
      </w:pPr>
    </w:p>
    <w:p w:rsidR="007516B2" w:rsidRPr="007516B2" w:rsidRDefault="007516B2" w:rsidP="007516B2">
      <w:pPr>
        <w:pStyle w:val="Akapitzlist"/>
        <w:spacing w:after="0" w:line="240" w:lineRule="auto"/>
        <w:jc w:val="both"/>
        <w:rPr>
          <w:rFonts w:eastAsia="Calibri" w:cs="Times New Roman"/>
          <w:sz w:val="20"/>
          <w:szCs w:val="20"/>
        </w:rPr>
      </w:pPr>
    </w:p>
    <w:p w:rsidR="001B401A" w:rsidRPr="00105F1C" w:rsidRDefault="00105F1C" w:rsidP="00CD33FC">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Tabela 2</w:t>
      </w:r>
      <w:r w:rsidRPr="002474BD">
        <w:rPr>
          <w:rFonts w:eastAsia="Calibri" w:cs="Times New Roman"/>
          <w:b/>
          <w:color w:val="000000" w:themeColor="text1"/>
          <w:sz w:val="24"/>
          <w:szCs w:val="24"/>
          <w:lang w:eastAsia="en-US"/>
        </w:rPr>
        <w:t>.</w:t>
      </w:r>
    </w:p>
    <w:tbl>
      <w:tblPr>
        <w:tblW w:w="5000" w:type="pct"/>
        <w:tblInd w:w="-72" w:type="dxa"/>
        <w:tblLayout w:type="fixed"/>
        <w:tblCellMar>
          <w:left w:w="0" w:type="dxa"/>
          <w:right w:w="0" w:type="dxa"/>
        </w:tblCellMar>
        <w:tblLook w:val="04A0"/>
      </w:tblPr>
      <w:tblGrid>
        <w:gridCol w:w="4110"/>
        <w:gridCol w:w="1701"/>
        <w:gridCol w:w="3401"/>
      </w:tblGrid>
      <w:tr w:rsidR="005D43F8" w:rsidRPr="00CE268B" w:rsidTr="00CC588A">
        <w:trPr>
          <w:trHeight w:val="612"/>
        </w:trPr>
        <w:tc>
          <w:tcPr>
            <w:tcW w:w="5000" w:type="pct"/>
            <w:gridSpan w:val="3"/>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center"/>
            <w:hideMark/>
          </w:tcPr>
          <w:p w:rsidR="005D43F8" w:rsidRPr="00CE268B" w:rsidRDefault="005D43F8" w:rsidP="00105F1C">
            <w:pPr>
              <w:spacing w:after="0" w:line="240" w:lineRule="auto"/>
              <w:jc w:val="center"/>
              <w:rPr>
                <w:rFonts w:eastAsia="Calibri" w:cstheme="minorHAnsi"/>
                <w:b/>
                <w:bCs/>
                <w:color w:val="000000"/>
              </w:rPr>
            </w:pPr>
            <w:r w:rsidRPr="00CE268B">
              <w:rPr>
                <w:rFonts w:eastAsia="Calibri" w:cstheme="minorHAnsi"/>
                <w:b/>
                <w:bCs/>
                <w:color w:val="000000"/>
              </w:rPr>
              <w:t>WYNAGRODZENIA  PERSONELU</w:t>
            </w:r>
            <w:r w:rsidR="00DD72D2">
              <w:rPr>
                <w:rFonts w:eastAsia="Calibri" w:cstheme="minorHAnsi"/>
                <w:b/>
                <w:bCs/>
              </w:rPr>
              <w:t xml:space="preserve"> MERYTORYCZNEGO</w:t>
            </w:r>
          </w:p>
        </w:tc>
      </w:tr>
      <w:tr w:rsidR="005D43F8" w:rsidRPr="00CE268B" w:rsidTr="00CC588A">
        <w:trPr>
          <w:trHeight w:val="285"/>
        </w:trPr>
        <w:tc>
          <w:tcPr>
            <w:tcW w:w="2231" w:type="pct"/>
            <w:tcBorders>
              <w:top w:val="nil"/>
              <w:left w:val="single" w:sz="8" w:space="0" w:color="auto"/>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5D43F8" w:rsidRPr="00CE268B" w:rsidRDefault="00BD371D" w:rsidP="008B1039">
            <w:pPr>
              <w:spacing w:after="0" w:line="240" w:lineRule="auto"/>
              <w:jc w:val="center"/>
              <w:rPr>
                <w:rFonts w:eastAsia="Calibri" w:cstheme="minorHAnsi"/>
                <w:b/>
                <w:bCs/>
                <w:iCs/>
                <w:color w:val="000000"/>
              </w:rPr>
            </w:pPr>
            <w:r>
              <w:rPr>
                <w:rFonts w:eastAsia="Calibri" w:cstheme="minorHAnsi"/>
                <w:b/>
                <w:bCs/>
                <w:iCs/>
                <w:color w:val="000000"/>
              </w:rPr>
              <w:t>R</w:t>
            </w:r>
            <w:r w:rsidR="005D43F8" w:rsidRPr="00CE268B">
              <w:rPr>
                <w:rFonts w:eastAsia="Calibri" w:cstheme="minorHAnsi"/>
                <w:b/>
                <w:bCs/>
                <w:iCs/>
                <w:color w:val="000000"/>
              </w:rPr>
              <w:t xml:space="preserve">odzaj </w:t>
            </w:r>
            <w:r w:rsidR="00497035">
              <w:rPr>
                <w:rFonts w:eastAsia="Times New Roman" w:cstheme="minorHAnsi"/>
                <w:b/>
                <w:color w:val="000000"/>
              </w:rPr>
              <w:t>wydatku</w:t>
            </w:r>
          </w:p>
        </w:tc>
        <w:tc>
          <w:tcPr>
            <w:tcW w:w="923" w:type="pct"/>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5D43F8" w:rsidRPr="00CE268B" w:rsidRDefault="005D43F8" w:rsidP="008B1039">
            <w:pPr>
              <w:spacing w:after="0" w:line="240" w:lineRule="auto"/>
              <w:jc w:val="center"/>
              <w:rPr>
                <w:rFonts w:eastAsia="Calibri" w:cstheme="minorHAnsi"/>
                <w:b/>
                <w:bCs/>
                <w:iCs/>
                <w:color w:val="000000"/>
              </w:rPr>
            </w:pPr>
            <w:r w:rsidRPr="00CE268B">
              <w:rPr>
                <w:rFonts w:eastAsia="Calibri" w:cstheme="minorHAnsi"/>
                <w:b/>
                <w:bCs/>
                <w:iCs/>
                <w:color w:val="000000"/>
              </w:rPr>
              <w:t>Jednostka</w:t>
            </w:r>
          </w:p>
        </w:tc>
        <w:tc>
          <w:tcPr>
            <w:tcW w:w="1847" w:type="pct"/>
            <w:tcBorders>
              <w:top w:val="nil"/>
              <w:left w:val="nil"/>
              <w:bottom w:val="single" w:sz="8" w:space="0" w:color="auto"/>
              <w:right w:val="single" w:sz="8" w:space="0" w:color="auto"/>
            </w:tcBorders>
            <w:shd w:val="clear" w:color="auto" w:fill="D9D9D9"/>
            <w:vAlign w:val="center"/>
          </w:tcPr>
          <w:p w:rsidR="005D43F8" w:rsidRPr="00CE268B" w:rsidRDefault="00D76F20" w:rsidP="008B1039">
            <w:pPr>
              <w:spacing w:after="0" w:line="240" w:lineRule="auto"/>
              <w:jc w:val="center"/>
              <w:rPr>
                <w:rFonts w:eastAsia="Calibri" w:cstheme="minorHAnsi"/>
                <w:b/>
                <w:bCs/>
                <w:iCs/>
                <w:color w:val="000000"/>
              </w:rPr>
            </w:pPr>
            <w:r>
              <w:rPr>
                <w:rFonts w:eastAsia="Calibri" w:cstheme="minorHAnsi"/>
                <w:b/>
                <w:bCs/>
                <w:iCs/>
                <w:color w:val="000000"/>
              </w:rPr>
              <w:t xml:space="preserve">Maksymalna </w:t>
            </w:r>
            <w:r w:rsidR="005D43F8" w:rsidRPr="00CE268B">
              <w:rPr>
                <w:rFonts w:eastAsia="Calibri" w:cstheme="minorHAnsi"/>
                <w:b/>
                <w:bCs/>
                <w:iCs/>
                <w:color w:val="000000"/>
              </w:rPr>
              <w:t>dopuszczalna stawka godzinowa</w:t>
            </w:r>
            <w:r w:rsidR="005D43F8" w:rsidRPr="00CE268B">
              <w:rPr>
                <w:rFonts w:eastAsia="Calibri" w:cstheme="minorHAnsi"/>
                <w:b/>
                <w:bCs/>
                <w:iCs/>
                <w:color w:val="000000"/>
              </w:rPr>
              <w:br/>
              <w:t xml:space="preserve"> (całkowity koszt pracodawcy)</w:t>
            </w:r>
          </w:p>
        </w:tc>
      </w:tr>
      <w:tr w:rsidR="005D43F8" w:rsidRPr="00CE268B" w:rsidTr="00CC588A">
        <w:trPr>
          <w:trHeight w:val="285"/>
        </w:trPr>
        <w:tc>
          <w:tcPr>
            <w:tcW w:w="2231"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CB0C7D" w:rsidRDefault="00CB0C7D" w:rsidP="008B1039">
            <w:pPr>
              <w:spacing w:after="0" w:line="240" w:lineRule="auto"/>
              <w:rPr>
                <w:rFonts w:eastAsia="Calibri" w:cstheme="minorHAnsi"/>
                <w:color w:val="000000"/>
              </w:rPr>
            </w:pPr>
            <w:r>
              <w:rPr>
                <w:rFonts w:eastAsia="Calibri" w:cstheme="minorHAnsi"/>
                <w:color w:val="000000"/>
              </w:rPr>
              <w:t>Wynagrodzenie trenera</w:t>
            </w:r>
          </w:p>
          <w:p w:rsidR="005D43F8" w:rsidRPr="0007306B" w:rsidRDefault="005D43F8" w:rsidP="008B1039">
            <w:pPr>
              <w:spacing w:after="0" w:line="240" w:lineRule="auto"/>
              <w:rPr>
                <w:rFonts w:eastAsia="Calibri" w:cstheme="minorHAnsi"/>
                <w:color w:val="000000"/>
              </w:rPr>
            </w:pPr>
          </w:p>
        </w:tc>
        <w:tc>
          <w:tcPr>
            <w:tcW w:w="92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B0C7D" w:rsidRDefault="00CB0C7D" w:rsidP="00015C14">
            <w:pPr>
              <w:spacing w:after="0" w:line="240" w:lineRule="auto"/>
              <w:jc w:val="center"/>
              <w:rPr>
                <w:rFonts w:eastAsia="Calibri" w:cstheme="minorHAnsi"/>
                <w:color w:val="000000"/>
              </w:rPr>
            </w:pPr>
            <w:r>
              <w:rPr>
                <w:rFonts w:eastAsia="Calibri" w:cstheme="minorHAnsi"/>
                <w:color w:val="000000"/>
              </w:rPr>
              <w:t>Godzina</w:t>
            </w:r>
          </w:p>
          <w:p w:rsidR="005D43F8" w:rsidRPr="0007306B" w:rsidRDefault="005D43F8" w:rsidP="00015C14">
            <w:pPr>
              <w:spacing w:after="0" w:line="240" w:lineRule="auto"/>
              <w:jc w:val="center"/>
              <w:rPr>
                <w:rFonts w:eastAsia="Calibri" w:cstheme="minorHAnsi"/>
                <w:color w:val="000000"/>
              </w:rPr>
            </w:pPr>
          </w:p>
        </w:tc>
        <w:tc>
          <w:tcPr>
            <w:tcW w:w="1847" w:type="pct"/>
            <w:tcBorders>
              <w:top w:val="nil"/>
              <w:left w:val="nil"/>
              <w:bottom w:val="single" w:sz="8" w:space="0" w:color="auto"/>
              <w:right w:val="single" w:sz="8" w:space="0" w:color="auto"/>
            </w:tcBorders>
            <w:vAlign w:val="center"/>
          </w:tcPr>
          <w:p w:rsidR="00972A4D" w:rsidRDefault="00972A4D" w:rsidP="00015C14">
            <w:pPr>
              <w:spacing w:after="0" w:line="240" w:lineRule="auto"/>
              <w:jc w:val="center"/>
              <w:rPr>
                <w:rFonts w:eastAsia="Calibri" w:cstheme="minorHAnsi"/>
                <w:color w:val="000000"/>
              </w:rPr>
            </w:pPr>
          </w:p>
          <w:p w:rsidR="00CB0C7D" w:rsidRDefault="00105F1C" w:rsidP="00015C14">
            <w:pPr>
              <w:spacing w:after="0" w:line="240" w:lineRule="auto"/>
              <w:jc w:val="center"/>
              <w:rPr>
                <w:rFonts w:eastAsia="Calibri" w:cstheme="minorHAnsi"/>
                <w:color w:val="000000"/>
              </w:rPr>
            </w:pPr>
            <w:r>
              <w:rPr>
                <w:rFonts w:eastAsia="Calibri" w:cstheme="minorHAnsi"/>
                <w:color w:val="000000"/>
              </w:rPr>
              <w:t xml:space="preserve">Cena uzależniona od tematyki i </w:t>
            </w:r>
            <w:r w:rsidR="00CB0C7D">
              <w:rPr>
                <w:rFonts w:eastAsia="Calibri" w:cstheme="minorHAnsi"/>
                <w:color w:val="000000"/>
              </w:rPr>
              <w:t>zakresu wsparcia</w:t>
            </w:r>
          </w:p>
          <w:p w:rsidR="005D43F8" w:rsidRPr="0007306B" w:rsidRDefault="005D43F8" w:rsidP="00015C14">
            <w:pPr>
              <w:spacing w:after="0" w:line="240" w:lineRule="auto"/>
              <w:jc w:val="center"/>
              <w:rPr>
                <w:rFonts w:eastAsia="Calibri" w:cstheme="minorHAnsi"/>
                <w:color w:val="000000"/>
              </w:rPr>
            </w:pPr>
          </w:p>
        </w:tc>
      </w:tr>
      <w:tr w:rsidR="00F975FD" w:rsidRPr="00CE268B" w:rsidTr="00CC588A">
        <w:trPr>
          <w:trHeight w:val="448"/>
        </w:trPr>
        <w:tc>
          <w:tcPr>
            <w:tcW w:w="2231" w:type="pct"/>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F975FD" w:rsidRPr="00CE268B" w:rsidRDefault="00F975FD" w:rsidP="00F11934">
            <w:pPr>
              <w:spacing w:after="0" w:line="240" w:lineRule="auto"/>
              <w:jc w:val="both"/>
              <w:rPr>
                <w:rFonts w:eastAsia="Calibri" w:cstheme="minorHAnsi"/>
                <w:color w:val="000000"/>
              </w:rPr>
            </w:pPr>
            <w:r w:rsidRPr="00CE268B">
              <w:rPr>
                <w:rFonts w:eastAsia="Calibri" w:cstheme="minorHAnsi"/>
                <w:color w:val="000000"/>
              </w:rPr>
              <w:t>Wynagrodzenie specjalisty</w:t>
            </w:r>
            <w:r>
              <w:rPr>
                <w:rFonts w:eastAsia="Calibri" w:cstheme="minorHAnsi"/>
                <w:color w:val="000000"/>
              </w:rPr>
              <w:t xml:space="preserve"> ds. zadań merytorycznych </w:t>
            </w:r>
          </w:p>
        </w:tc>
        <w:tc>
          <w:tcPr>
            <w:tcW w:w="923"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F975FD" w:rsidRPr="00CE268B" w:rsidRDefault="00F975FD" w:rsidP="00F975FD">
            <w:pPr>
              <w:spacing w:after="0" w:line="240" w:lineRule="auto"/>
              <w:jc w:val="center"/>
              <w:rPr>
                <w:rFonts w:eastAsia="Calibri" w:cstheme="minorHAnsi"/>
                <w:color w:val="000000"/>
              </w:rPr>
            </w:pPr>
            <w:r w:rsidRPr="00CE268B">
              <w:rPr>
                <w:rFonts w:eastAsia="Calibri" w:cstheme="minorHAnsi"/>
                <w:color w:val="000000"/>
              </w:rPr>
              <w:t>Etat</w:t>
            </w:r>
          </w:p>
        </w:tc>
        <w:tc>
          <w:tcPr>
            <w:tcW w:w="1847" w:type="pct"/>
            <w:tcBorders>
              <w:top w:val="nil"/>
              <w:left w:val="nil"/>
              <w:bottom w:val="single" w:sz="8" w:space="0" w:color="auto"/>
              <w:right w:val="single" w:sz="8" w:space="0" w:color="auto"/>
            </w:tcBorders>
            <w:vAlign w:val="center"/>
          </w:tcPr>
          <w:p w:rsidR="00F975FD" w:rsidRPr="00CE268B" w:rsidRDefault="001B5628" w:rsidP="00612E63">
            <w:pPr>
              <w:spacing w:after="0" w:line="240" w:lineRule="auto"/>
              <w:jc w:val="right"/>
              <w:rPr>
                <w:rFonts w:eastAsia="Calibri" w:cstheme="minorHAnsi"/>
                <w:color w:val="000000"/>
              </w:rPr>
            </w:pPr>
            <w:r>
              <w:rPr>
                <w:rFonts w:eastAsia="Calibri" w:cstheme="minorHAnsi"/>
                <w:color w:val="000000"/>
              </w:rPr>
              <w:t xml:space="preserve"> 6 400,00 </w:t>
            </w:r>
            <w:r w:rsidR="00F975FD" w:rsidRPr="00985E31">
              <w:rPr>
                <w:rFonts w:eastAsia="Calibri" w:cstheme="minorHAnsi"/>
                <w:color w:val="000000"/>
              </w:rPr>
              <w:t>zł</w:t>
            </w:r>
          </w:p>
        </w:tc>
      </w:tr>
    </w:tbl>
    <w:p w:rsidR="00E16C3E" w:rsidRDefault="00E16C3E" w:rsidP="00AB5C37">
      <w:pPr>
        <w:spacing w:after="0" w:line="240" w:lineRule="auto"/>
        <w:jc w:val="both"/>
        <w:rPr>
          <w:sz w:val="20"/>
          <w:szCs w:val="20"/>
        </w:rPr>
      </w:pPr>
    </w:p>
    <w:p w:rsidR="00305758" w:rsidRDefault="00305758" w:rsidP="00AB5C37">
      <w:pPr>
        <w:spacing w:after="0" w:line="240" w:lineRule="auto"/>
        <w:jc w:val="both"/>
        <w:rPr>
          <w:sz w:val="20"/>
          <w:szCs w:val="20"/>
        </w:rPr>
      </w:pPr>
    </w:p>
    <w:p w:rsidR="00305758" w:rsidRPr="008B1039" w:rsidRDefault="00305758" w:rsidP="00AB5C37">
      <w:pPr>
        <w:spacing w:after="0" w:line="240" w:lineRule="auto"/>
        <w:jc w:val="both"/>
        <w:rPr>
          <w:sz w:val="20"/>
          <w:szCs w:val="20"/>
        </w:rPr>
      </w:pPr>
    </w:p>
    <w:p w:rsidR="00105F1C" w:rsidRPr="00105F1C" w:rsidRDefault="00105F1C" w:rsidP="00105F1C">
      <w:pPr>
        <w:spacing w:line="240" w:lineRule="auto"/>
        <w:jc w:val="both"/>
        <w:rPr>
          <w:rFonts w:eastAsia="Calibri" w:cs="Times New Roman"/>
          <w:b/>
          <w:color w:val="000000" w:themeColor="text1"/>
          <w:sz w:val="24"/>
          <w:szCs w:val="24"/>
          <w:lang w:eastAsia="en-US"/>
        </w:rPr>
      </w:pPr>
      <w:r>
        <w:rPr>
          <w:rFonts w:eastAsia="Calibri" w:cs="Times New Roman"/>
          <w:b/>
          <w:color w:val="000000" w:themeColor="text1"/>
          <w:sz w:val="24"/>
          <w:szCs w:val="24"/>
          <w:lang w:eastAsia="en-US"/>
        </w:rPr>
        <w:t>Tabela 3</w:t>
      </w:r>
      <w:r w:rsidRPr="002474BD">
        <w:rPr>
          <w:rFonts w:eastAsia="Calibri" w:cs="Times New Roman"/>
          <w:b/>
          <w:color w:val="000000" w:themeColor="text1"/>
          <w:sz w:val="24"/>
          <w:szCs w:val="24"/>
          <w:lang w:eastAsia="en-US"/>
        </w:rPr>
        <w:t>.</w:t>
      </w:r>
    </w:p>
    <w:tbl>
      <w:tblPr>
        <w:tblStyle w:val="Tabela-Siatka"/>
        <w:tblW w:w="0" w:type="auto"/>
        <w:tblLook w:val="04A0"/>
      </w:tblPr>
      <w:tblGrid>
        <w:gridCol w:w="3510"/>
        <w:gridCol w:w="2268"/>
        <w:gridCol w:w="3402"/>
      </w:tblGrid>
      <w:tr w:rsidR="00D76F20" w:rsidRPr="00CE268B" w:rsidTr="00105F1C">
        <w:trPr>
          <w:trHeight w:val="712"/>
        </w:trPr>
        <w:tc>
          <w:tcPr>
            <w:tcW w:w="9180" w:type="dxa"/>
            <w:gridSpan w:val="3"/>
            <w:tcBorders>
              <w:bottom w:val="single" w:sz="4" w:space="0" w:color="auto"/>
            </w:tcBorders>
            <w:shd w:val="clear" w:color="auto" w:fill="BFBFBF" w:themeFill="background1" w:themeFillShade="BF"/>
            <w:vAlign w:val="center"/>
          </w:tcPr>
          <w:p w:rsidR="00D76F20" w:rsidRPr="002D25BD" w:rsidRDefault="00D76F20" w:rsidP="00913695">
            <w:pPr>
              <w:jc w:val="center"/>
              <w:rPr>
                <w:rFonts w:cstheme="minorHAnsi"/>
                <w:b/>
                <w:shd w:val="clear" w:color="auto" w:fill="A6A6A6" w:themeFill="background1" w:themeFillShade="A6"/>
              </w:rPr>
            </w:pPr>
            <w:r w:rsidRPr="002D25BD">
              <w:rPr>
                <w:rFonts w:cstheme="minorHAnsi"/>
                <w:b/>
                <w:highlight w:val="lightGray"/>
                <w:shd w:val="clear" w:color="auto" w:fill="A6A6A6" w:themeFill="background1" w:themeFillShade="A6"/>
              </w:rPr>
              <w:t xml:space="preserve">WYNAJĘCIE SAL </w:t>
            </w:r>
          </w:p>
        </w:tc>
      </w:tr>
      <w:tr w:rsidR="00D76F20" w:rsidRPr="00CE268B" w:rsidTr="00D76F20">
        <w:tc>
          <w:tcPr>
            <w:tcW w:w="3510" w:type="dxa"/>
            <w:shd w:val="pct15" w:color="auto" w:fill="auto"/>
            <w:vAlign w:val="center"/>
          </w:tcPr>
          <w:p w:rsidR="00D76F20" w:rsidRPr="00CE268B" w:rsidRDefault="00BD371D" w:rsidP="00C44675">
            <w:pPr>
              <w:jc w:val="center"/>
              <w:rPr>
                <w:rFonts w:cstheme="minorHAnsi"/>
              </w:rPr>
            </w:pPr>
            <w:r>
              <w:rPr>
                <w:rFonts w:eastAsia="Times New Roman" w:cstheme="minorHAnsi"/>
                <w:b/>
                <w:color w:val="000000"/>
              </w:rPr>
              <w:t>R</w:t>
            </w:r>
            <w:r w:rsidR="00D76F20" w:rsidRPr="00CE268B">
              <w:rPr>
                <w:rFonts w:eastAsia="Times New Roman" w:cstheme="minorHAnsi"/>
                <w:b/>
                <w:color w:val="000000"/>
              </w:rPr>
              <w:t xml:space="preserve">odzaj </w:t>
            </w:r>
            <w:r w:rsidR="00497035">
              <w:rPr>
                <w:rFonts w:eastAsia="Times New Roman" w:cstheme="minorHAnsi"/>
                <w:b/>
                <w:color w:val="000000"/>
              </w:rPr>
              <w:t>wydatku</w:t>
            </w:r>
          </w:p>
        </w:tc>
        <w:tc>
          <w:tcPr>
            <w:tcW w:w="2268" w:type="dxa"/>
            <w:shd w:val="pct15" w:color="auto" w:fill="auto"/>
            <w:vAlign w:val="center"/>
          </w:tcPr>
          <w:p w:rsidR="00D76F20" w:rsidRPr="00CE268B" w:rsidRDefault="00BD371D" w:rsidP="00C44675">
            <w:pPr>
              <w:jc w:val="center"/>
              <w:rPr>
                <w:rFonts w:cstheme="minorHAnsi"/>
                <w:b/>
              </w:rPr>
            </w:pPr>
            <w:r>
              <w:rPr>
                <w:rFonts w:cstheme="minorHAnsi"/>
                <w:b/>
              </w:rPr>
              <w:t>J</w:t>
            </w:r>
            <w:r w:rsidR="00D76F20" w:rsidRPr="00CE268B">
              <w:rPr>
                <w:rFonts w:cstheme="minorHAnsi"/>
                <w:b/>
              </w:rPr>
              <w:t>ednostka</w:t>
            </w:r>
          </w:p>
        </w:tc>
        <w:tc>
          <w:tcPr>
            <w:tcW w:w="3402" w:type="dxa"/>
            <w:shd w:val="pct15" w:color="auto" w:fill="auto"/>
            <w:vAlign w:val="center"/>
          </w:tcPr>
          <w:p w:rsidR="00D76F20" w:rsidRPr="00CE268B" w:rsidRDefault="00BD371D" w:rsidP="00C44675">
            <w:pPr>
              <w:jc w:val="center"/>
              <w:rPr>
                <w:rFonts w:cstheme="minorHAnsi"/>
              </w:rPr>
            </w:pPr>
            <w:r>
              <w:rPr>
                <w:rFonts w:eastAsia="Calibri" w:cstheme="minorHAnsi"/>
                <w:b/>
                <w:bCs/>
                <w:iCs/>
                <w:color w:val="000000"/>
              </w:rPr>
              <w:t xml:space="preserve">Maksymalna </w:t>
            </w:r>
            <w:r w:rsidRPr="00CE268B">
              <w:rPr>
                <w:rFonts w:eastAsia="Calibri" w:cstheme="minorHAnsi"/>
                <w:b/>
                <w:bCs/>
                <w:iCs/>
                <w:color w:val="000000"/>
              </w:rPr>
              <w:t>dopuszczalna stawka godzinowa</w:t>
            </w:r>
          </w:p>
        </w:tc>
      </w:tr>
      <w:tr w:rsidR="00D76F20" w:rsidRPr="005E6CAE" w:rsidTr="002B0BF8">
        <w:trPr>
          <w:trHeight w:val="1149"/>
        </w:trPr>
        <w:tc>
          <w:tcPr>
            <w:tcW w:w="3510" w:type="dxa"/>
            <w:vAlign w:val="center"/>
          </w:tcPr>
          <w:p w:rsidR="002B0BF8" w:rsidRDefault="002B0BF8" w:rsidP="002B0BF8">
            <w:pPr>
              <w:spacing w:line="480" w:lineRule="auto"/>
              <w:rPr>
                <w:rFonts w:cstheme="minorHAnsi"/>
              </w:rPr>
            </w:pPr>
          </w:p>
          <w:p w:rsidR="00D76F20" w:rsidRPr="00CE268B" w:rsidRDefault="00ED5167" w:rsidP="003A0C18">
            <w:pPr>
              <w:spacing w:line="480" w:lineRule="auto"/>
              <w:rPr>
                <w:rFonts w:cstheme="minorHAnsi"/>
              </w:rPr>
            </w:pPr>
            <w:r>
              <w:rPr>
                <w:rFonts w:cstheme="minorHAnsi"/>
              </w:rPr>
              <w:t>S</w:t>
            </w:r>
            <w:r w:rsidR="003A0C18">
              <w:rPr>
                <w:rFonts w:cstheme="minorHAnsi"/>
              </w:rPr>
              <w:t>ala konferencyjna</w:t>
            </w:r>
            <w:r w:rsidR="006A7ECB">
              <w:rPr>
                <w:rFonts w:cstheme="minorHAnsi"/>
              </w:rPr>
              <w:t xml:space="preserve"> (8h)</w:t>
            </w:r>
          </w:p>
        </w:tc>
        <w:tc>
          <w:tcPr>
            <w:tcW w:w="2268" w:type="dxa"/>
            <w:vAlign w:val="center"/>
          </w:tcPr>
          <w:p w:rsidR="00D76F20" w:rsidRPr="00CE268B" w:rsidRDefault="00D76F20" w:rsidP="00EE1C29">
            <w:pPr>
              <w:spacing w:line="480" w:lineRule="auto"/>
              <w:jc w:val="center"/>
              <w:rPr>
                <w:rFonts w:cstheme="minorHAnsi"/>
              </w:rPr>
            </w:pPr>
          </w:p>
          <w:p w:rsidR="00D76F20" w:rsidRPr="00CE268B" w:rsidRDefault="00D76F20" w:rsidP="00EE1C29">
            <w:pPr>
              <w:spacing w:line="480" w:lineRule="auto"/>
              <w:jc w:val="center"/>
              <w:rPr>
                <w:rFonts w:cstheme="minorHAnsi"/>
              </w:rPr>
            </w:pPr>
            <w:r w:rsidRPr="00CE268B">
              <w:rPr>
                <w:rFonts w:cstheme="minorHAnsi"/>
              </w:rPr>
              <w:t>sztuka</w:t>
            </w:r>
          </w:p>
        </w:tc>
        <w:tc>
          <w:tcPr>
            <w:tcW w:w="3402" w:type="dxa"/>
          </w:tcPr>
          <w:p w:rsidR="00D76F20" w:rsidRPr="00CE268B" w:rsidRDefault="00D76F20" w:rsidP="00EE4E12">
            <w:pPr>
              <w:spacing w:line="480" w:lineRule="auto"/>
              <w:jc w:val="center"/>
              <w:rPr>
                <w:rFonts w:cstheme="minorHAnsi"/>
              </w:rPr>
            </w:pPr>
          </w:p>
          <w:p w:rsidR="00D76F20" w:rsidRPr="00985E31" w:rsidRDefault="00D06CD9" w:rsidP="00612E63">
            <w:pPr>
              <w:jc w:val="right"/>
              <w:rPr>
                <w:rFonts w:cstheme="minorHAnsi"/>
              </w:rPr>
            </w:pPr>
            <w:r>
              <w:rPr>
                <w:rFonts w:cstheme="minorHAnsi"/>
              </w:rPr>
              <w:t>83</w:t>
            </w:r>
            <w:r w:rsidR="000B134A">
              <w:rPr>
                <w:rFonts w:cstheme="minorHAnsi"/>
              </w:rPr>
              <w:t>0</w:t>
            </w:r>
            <w:r w:rsidR="00D76F20" w:rsidRPr="00985E31">
              <w:rPr>
                <w:rFonts w:cstheme="minorHAnsi"/>
              </w:rPr>
              <w:t>,00 zł</w:t>
            </w:r>
            <w:r w:rsidR="00101CA4" w:rsidRPr="00985E31">
              <w:rPr>
                <w:rFonts w:cstheme="minorHAnsi"/>
              </w:rPr>
              <w:t xml:space="preserve">  </w:t>
            </w:r>
            <w:r w:rsidR="00105F1C" w:rsidRPr="00985E31">
              <w:rPr>
                <w:rFonts w:cstheme="minorHAnsi"/>
              </w:rPr>
              <w:br/>
              <w:t>(</w:t>
            </w:r>
            <w:r w:rsidR="007E2815" w:rsidRPr="00985E31">
              <w:rPr>
                <w:rFonts w:cstheme="minorHAnsi"/>
              </w:rPr>
              <w:t>do 5</w:t>
            </w:r>
            <w:r w:rsidR="00101CA4" w:rsidRPr="00985E31">
              <w:rPr>
                <w:rFonts w:cstheme="minorHAnsi"/>
              </w:rPr>
              <w:t>0 os</w:t>
            </w:r>
            <w:r w:rsidR="00B33D0C" w:rsidRPr="00985E31">
              <w:rPr>
                <w:rFonts w:cstheme="minorHAnsi"/>
              </w:rPr>
              <w:t>ó</w:t>
            </w:r>
            <w:r w:rsidR="00AE66A1" w:rsidRPr="00985E31">
              <w:rPr>
                <w:rFonts w:cstheme="minorHAnsi"/>
              </w:rPr>
              <w:t>b</w:t>
            </w:r>
            <w:r w:rsidR="00101CA4" w:rsidRPr="00985E31">
              <w:rPr>
                <w:rFonts w:cstheme="minorHAnsi"/>
              </w:rPr>
              <w:t>/8h</w:t>
            </w:r>
            <w:r w:rsidR="00105F1C" w:rsidRPr="00985E31">
              <w:rPr>
                <w:rFonts w:cstheme="minorHAnsi"/>
              </w:rPr>
              <w:t>)</w:t>
            </w:r>
          </w:p>
          <w:p w:rsidR="00105F1C" w:rsidRPr="00985E31" w:rsidRDefault="00105F1C" w:rsidP="00612E63">
            <w:pPr>
              <w:jc w:val="right"/>
              <w:rPr>
                <w:rFonts w:cstheme="minorHAnsi"/>
              </w:rPr>
            </w:pPr>
          </w:p>
          <w:p w:rsidR="002331B3" w:rsidRPr="00CE268B" w:rsidRDefault="00900038" w:rsidP="00612E63">
            <w:pPr>
              <w:jc w:val="right"/>
              <w:rPr>
                <w:rFonts w:cstheme="minorHAnsi"/>
              </w:rPr>
            </w:pPr>
            <w:r w:rsidRPr="00985E31">
              <w:rPr>
                <w:rFonts w:cstheme="minorHAnsi"/>
              </w:rPr>
              <w:t xml:space="preserve">1 </w:t>
            </w:r>
            <w:r w:rsidR="00D06CD9">
              <w:rPr>
                <w:rFonts w:cstheme="minorHAnsi"/>
              </w:rPr>
              <w:t>5</w:t>
            </w:r>
            <w:r w:rsidRPr="00985E31">
              <w:rPr>
                <w:rFonts w:cstheme="minorHAnsi"/>
              </w:rPr>
              <w:t>00</w:t>
            </w:r>
            <w:r w:rsidR="002331B3" w:rsidRPr="00985E31">
              <w:rPr>
                <w:rFonts w:cstheme="minorHAnsi"/>
              </w:rPr>
              <w:t xml:space="preserve">,00 zł </w:t>
            </w:r>
            <w:r w:rsidR="00105F1C" w:rsidRPr="00985E31">
              <w:rPr>
                <w:rFonts w:cstheme="minorHAnsi"/>
              </w:rPr>
              <w:br/>
              <w:t>(</w:t>
            </w:r>
            <w:r w:rsidR="00A1425D">
              <w:rPr>
                <w:rFonts w:cstheme="minorHAnsi"/>
              </w:rPr>
              <w:t>powyżej 50</w:t>
            </w:r>
            <w:r w:rsidR="002331B3" w:rsidRPr="00985E31">
              <w:rPr>
                <w:rFonts w:cstheme="minorHAnsi"/>
              </w:rPr>
              <w:t xml:space="preserve"> osób/8h</w:t>
            </w:r>
            <w:r w:rsidR="00105F1C" w:rsidRPr="00985E31">
              <w:rPr>
                <w:rFonts w:cstheme="minorHAnsi"/>
              </w:rPr>
              <w:t>)</w:t>
            </w:r>
          </w:p>
        </w:tc>
      </w:tr>
      <w:tr w:rsidR="00105F1C" w:rsidRPr="005E6CAE" w:rsidTr="002B0BF8">
        <w:trPr>
          <w:trHeight w:val="286"/>
        </w:trPr>
        <w:tc>
          <w:tcPr>
            <w:tcW w:w="3510" w:type="dxa"/>
          </w:tcPr>
          <w:p w:rsidR="00105F1C" w:rsidRDefault="00105F1C" w:rsidP="00105F1C">
            <w:pPr>
              <w:jc w:val="center"/>
              <w:rPr>
                <w:rFonts w:cstheme="minorHAnsi"/>
              </w:rPr>
            </w:pPr>
          </w:p>
          <w:p w:rsidR="00105F1C" w:rsidRDefault="00105F1C" w:rsidP="00105F1C">
            <w:pPr>
              <w:jc w:val="center"/>
              <w:rPr>
                <w:rFonts w:cstheme="minorHAnsi"/>
              </w:rPr>
            </w:pPr>
          </w:p>
          <w:p w:rsidR="00105F1C" w:rsidRPr="00BD371D" w:rsidRDefault="00105F1C" w:rsidP="00105F1C">
            <w:pPr>
              <w:rPr>
                <w:rFonts w:cstheme="minorHAnsi"/>
              </w:rPr>
            </w:pPr>
            <w:r>
              <w:rPr>
                <w:rFonts w:cstheme="minorHAnsi"/>
              </w:rPr>
              <w:t>Sala szkoleniowa</w:t>
            </w:r>
            <w:r w:rsidRPr="00BD371D">
              <w:rPr>
                <w:rFonts w:cstheme="minorHAnsi"/>
              </w:rPr>
              <w:t xml:space="preserve"> (8h)</w:t>
            </w:r>
          </w:p>
        </w:tc>
        <w:tc>
          <w:tcPr>
            <w:tcW w:w="2268" w:type="dxa"/>
          </w:tcPr>
          <w:p w:rsidR="00105F1C" w:rsidRDefault="00105F1C" w:rsidP="00105F1C">
            <w:pPr>
              <w:spacing w:line="480" w:lineRule="auto"/>
              <w:jc w:val="center"/>
              <w:rPr>
                <w:rFonts w:cstheme="minorHAnsi"/>
              </w:rPr>
            </w:pPr>
          </w:p>
          <w:p w:rsidR="00105F1C" w:rsidRPr="004D77C0" w:rsidRDefault="00105F1C" w:rsidP="00105F1C">
            <w:pPr>
              <w:spacing w:line="480" w:lineRule="auto"/>
              <w:jc w:val="center"/>
              <w:rPr>
                <w:rFonts w:cstheme="minorHAnsi"/>
              </w:rPr>
            </w:pPr>
            <w:r>
              <w:rPr>
                <w:rFonts w:cstheme="minorHAnsi"/>
              </w:rPr>
              <w:t>sztuka</w:t>
            </w:r>
          </w:p>
        </w:tc>
        <w:tc>
          <w:tcPr>
            <w:tcW w:w="3402" w:type="dxa"/>
          </w:tcPr>
          <w:p w:rsidR="00105F1C" w:rsidRDefault="00105F1C" w:rsidP="00EE4E12">
            <w:pPr>
              <w:jc w:val="center"/>
              <w:rPr>
                <w:rFonts w:cstheme="minorHAnsi"/>
              </w:rPr>
            </w:pPr>
          </w:p>
          <w:p w:rsidR="00105F1C" w:rsidRPr="004D77C0" w:rsidRDefault="00105F1C" w:rsidP="00612E63">
            <w:pPr>
              <w:jc w:val="right"/>
              <w:rPr>
                <w:rFonts w:cstheme="minorHAnsi"/>
              </w:rPr>
            </w:pPr>
            <w:r>
              <w:rPr>
                <w:rFonts w:cstheme="minorHAnsi"/>
              </w:rPr>
              <w:t>340,00</w:t>
            </w:r>
            <w:r w:rsidRPr="004D77C0">
              <w:rPr>
                <w:rFonts w:cstheme="minorHAnsi"/>
              </w:rPr>
              <w:t xml:space="preserve"> zł</w:t>
            </w:r>
            <w:r>
              <w:rPr>
                <w:rFonts w:cstheme="minorHAnsi"/>
              </w:rPr>
              <w:t xml:space="preserve"> </w:t>
            </w:r>
            <w:r>
              <w:rPr>
                <w:rFonts w:cstheme="minorHAnsi"/>
              </w:rPr>
              <w:br/>
              <w:t xml:space="preserve"> (</w:t>
            </w:r>
            <w:r w:rsidRPr="00EF563B">
              <w:rPr>
                <w:rFonts w:cstheme="minorHAnsi"/>
              </w:rPr>
              <w:t>do 30 osób/8h</w:t>
            </w:r>
            <w:r>
              <w:rPr>
                <w:rFonts w:cstheme="minorHAnsi"/>
              </w:rPr>
              <w:t xml:space="preserve"> )</w:t>
            </w:r>
          </w:p>
        </w:tc>
      </w:tr>
    </w:tbl>
    <w:p w:rsidR="00105F1C" w:rsidRPr="00730114" w:rsidRDefault="002001A5" w:rsidP="00730114">
      <w:pPr>
        <w:pStyle w:val="Zwykytekst"/>
        <w:spacing w:after="120"/>
        <w:jc w:val="both"/>
        <w:rPr>
          <w:rFonts w:asciiTheme="minorHAnsi" w:hAnsiTheme="minorHAnsi"/>
          <w:sz w:val="20"/>
          <w:szCs w:val="20"/>
        </w:rPr>
      </w:pPr>
      <w:r w:rsidRPr="00985E31">
        <w:rPr>
          <w:rFonts w:asciiTheme="minorHAnsi" w:hAnsiTheme="minorHAnsi"/>
          <w:sz w:val="20"/>
          <w:szCs w:val="20"/>
        </w:rPr>
        <w:t xml:space="preserve">Sale muszą być dostosowane do </w:t>
      </w:r>
      <w:r w:rsidR="000D1685">
        <w:rPr>
          <w:rFonts w:asciiTheme="minorHAnsi" w:hAnsiTheme="minorHAnsi"/>
          <w:sz w:val="20"/>
          <w:szCs w:val="20"/>
        </w:rPr>
        <w:t xml:space="preserve">potrzeb </w:t>
      </w:r>
      <w:r w:rsidRPr="00985E31">
        <w:rPr>
          <w:rFonts w:asciiTheme="minorHAnsi" w:hAnsiTheme="minorHAnsi"/>
          <w:sz w:val="20"/>
          <w:szCs w:val="20"/>
        </w:rPr>
        <w:t>osób niepełnosprawnych.</w:t>
      </w:r>
      <w:r>
        <w:rPr>
          <w:rFonts w:asciiTheme="minorHAnsi" w:hAnsiTheme="minorHAnsi"/>
          <w:sz w:val="20"/>
          <w:szCs w:val="20"/>
        </w:rPr>
        <w:t xml:space="preserve"> </w:t>
      </w:r>
    </w:p>
    <w:p w:rsidR="00105F1C" w:rsidRPr="00105F1C" w:rsidRDefault="000C73C8" w:rsidP="003F305C">
      <w:pPr>
        <w:spacing w:line="240" w:lineRule="auto"/>
        <w:jc w:val="both"/>
        <w:rPr>
          <w:rFonts w:eastAsia="Calibri" w:cs="Times New Roman"/>
          <w:b/>
          <w:color w:val="000000" w:themeColor="text1"/>
          <w:sz w:val="24"/>
          <w:szCs w:val="24"/>
          <w:lang w:eastAsia="en-US"/>
        </w:rPr>
      </w:pPr>
      <w:r>
        <w:rPr>
          <w:rFonts w:eastAsia="Calibri" w:cs="Times New Roman"/>
          <w:b/>
          <w:color w:val="000000" w:themeColor="text1"/>
          <w:sz w:val="24"/>
          <w:szCs w:val="24"/>
          <w:lang w:eastAsia="en-US"/>
        </w:rPr>
        <w:t>Tabela 4</w:t>
      </w:r>
      <w:r w:rsidR="00105F1C" w:rsidRPr="002474BD">
        <w:rPr>
          <w:rFonts w:eastAsia="Calibri" w:cs="Times New Roman"/>
          <w:b/>
          <w:color w:val="000000" w:themeColor="text1"/>
          <w:sz w:val="24"/>
          <w:szCs w:val="24"/>
          <w:lang w:eastAsia="en-US"/>
        </w:rPr>
        <w:t>.</w:t>
      </w:r>
    </w:p>
    <w:tbl>
      <w:tblPr>
        <w:tblStyle w:val="Tabela-Siatka"/>
        <w:tblW w:w="0" w:type="auto"/>
        <w:tblLayout w:type="fixed"/>
        <w:tblLook w:val="04A0"/>
      </w:tblPr>
      <w:tblGrid>
        <w:gridCol w:w="3510"/>
        <w:gridCol w:w="2268"/>
        <w:gridCol w:w="3402"/>
      </w:tblGrid>
      <w:tr w:rsidR="00BD371D" w:rsidRPr="005E6CAE" w:rsidTr="00037541">
        <w:trPr>
          <w:trHeight w:val="584"/>
        </w:trPr>
        <w:tc>
          <w:tcPr>
            <w:tcW w:w="9180" w:type="dxa"/>
            <w:gridSpan w:val="3"/>
            <w:tcBorders>
              <w:bottom w:val="single" w:sz="4" w:space="0" w:color="auto"/>
            </w:tcBorders>
            <w:shd w:val="clear" w:color="auto" w:fill="BFBFBF" w:themeFill="background1" w:themeFillShade="BF"/>
            <w:vAlign w:val="center"/>
          </w:tcPr>
          <w:p w:rsidR="00BD371D" w:rsidRDefault="00BD371D" w:rsidP="000D2A58">
            <w:pPr>
              <w:jc w:val="center"/>
              <w:rPr>
                <w:rFonts w:cstheme="minorHAnsi"/>
                <w:b/>
              </w:rPr>
            </w:pPr>
            <w:r>
              <w:rPr>
                <w:rFonts w:cstheme="minorHAnsi"/>
                <w:b/>
              </w:rPr>
              <w:t xml:space="preserve">MATERIAŁY </w:t>
            </w:r>
            <w:r w:rsidR="00CB00AD">
              <w:rPr>
                <w:rFonts w:cstheme="minorHAnsi"/>
                <w:b/>
              </w:rPr>
              <w:t>WARSZTATOWE</w:t>
            </w:r>
            <w:r w:rsidR="000D2A58">
              <w:rPr>
                <w:rFonts w:cstheme="minorHAnsi"/>
                <w:b/>
              </w:rPr>
              <w:t>/SEMINARYJNE</w:t>
            </w:r>
            <w:r w:rsidR="002001A5">
              <w:rPr>
                <w:rFonts w:cstheme="minorHAnsi"/>
                <w:b/>
              </w:rPr>
              <w:t xml:space="preserve"> </w:t>
            </w:r>
          </w:p>
        </w:tc>
      </w:tr>
      <w:tr w:rsidR="00BD371D" w:rsidRPr="005E6CAE" w:rsidTr="00BD371D">
        <w:tc>
          <w:tcPr>
            <w:tcW w:w="3510" w:type="dxa"/>
            <w:shd w:val="pct15" w:color="auto" w:fill="auto"/>
          </w:tcPr>
          <w:p w:rsidR="00BD371D" w:rsidRDefault="00BD371D" w:rsidP="00FC400B">
            <w:pPr>
              <w:jc w:val="center"/>
              <w:rPr>
                <w:rFonts w:cstheme="minorHAnsi"/>
              </w:rPr>
            </w:pPr>
            <w:r>
              <w:rPr>
                <w:rFonts w:eastAsia="Times New Roman" w:cstheme="minorHAnsi"/>
                <w:b/>
                <w:color w:val="000000"/>
              </w:rPr>
              <w:t xml:space="preserve">Rodzaj </w:t>
            </w:r>
            <w:r w:rsidR="00497035">
              <w:rPr>
                <w:rFonts w:eastAsia="Times New Roman" w:cstheme="minorHAnsi"/>
                <w:b/>
                <w:color w:val="000000"/>
              </w:rPr>
              <w:t>wydatku</w:t>
            </w:r>
          </w:p>
        </w:tc>
        <w:tc>
          <w:tcPr>
            <w:tcW w:w="2268" w:type="dxa"/>
            <w:shd w:val="pct15" w:color="auto" w:fill="auto"/>
          </w:tcPr>
          <w:p w:rsidR="00BD371D" w:rsidRPr="005E6CAE" w:rsidRDefault="00BD371D" w:rsidP="00FC400B">
            <w:pPr>
              <w:spacing w:line="480" w:lineRule="auto"/>
              <w:jc w:val="center"/>
              <w:rPr>
                <w:rFonts w:cstheme="minorHAnsi"/>
              </w:rPr>
            </w:pPr>
            <w:r>
              <w:rPr>
                <w:rFonts w:cstheme="minorHAnsi"/>
                <w:b/>
              </w:rPr>
              <w:t>J</w:t>
            </w:r>
            <w:r w:rsidRPr="004519C3">
              <w:rPr>
                <w:rFonts w:cstheme="minorHAnsi"/>
                <w:b/>
              </w:rPr>
              <w:t>ednostka</w:t>
            </w:r>
          </w:p>
        </w:tc>
        <w:tc>
          <w:tcPr>
            <w:tcW w:w="3402" w:type="dxa"/>
            <w:shd w:val="pct15" w:color="auto" w:fill="auto"/>
          </w:tcPr>
          <w:p w:rsidR="00BD371D" w:rsidRPr="005E6CAE" w:rsidRDefault="00BD371D" w:rsidP="00BD371D">
            <w:pPr>
              <w:spacing w:line="480" w:lineRule="auto"/>
              <w:jc w:val="center"/>
              <w:rPr>
                <w:rFonts w:cstheme="minorHAnsi"/>
              </w:rPr>
            </w:pPr>
            <w:r>
              <w:rPr>
                <w:rFonts w:eastAsia="Calibri" w:cstheme="minorHAnsi"/>
                <w:b/>
                <w:bCs/>
                <w:iCs/>
                <w:color w:val="000000"/>
              </w:rPr>
              <w:t xml:space="preserve">Maksymalna </w:t>
            </w:r>
            <w:r w:rsidRPr="00CE268B">
              <w:rPr>
                <w:rFonts w:eastAsia="Calibri" w:cstheme="minorHAnsi"/>
                <w:b/>
                <w:bCs/>
                <w:iCs/>
                <w:color w:val="000000"/>
              </w:rPr>
              <w:t xml:space="preserve">dopuszczalna stawka </w:t>
            </w:r>
          </w:p>
        </w:tc>
      </w:tr>
      <w:tr w:rsidR="00BD371D" w:rsidRPr="005E6CAE" w:rsidTr="00D638AC">
        <w:tc>
          <w:tcPr>
            <w:tcW w:w="3510" w:type="dxa"/>
          </w:tcPr>
          <w:p w:rsidR="00BD371D" w:rsidRPr="004D77C0" w:rsidRDefault="00ED5167" w:rsidP="000D2A58">
            <w:pPr>
              <w:spacing w:line="276" w:lineRule="auto"/>
              <w:jc w:val="both"/>
              <w:rPr>
                <w:rFonts w:cstheme="minorHAnsi"/>
              </w:rPr>
            </w:pPr>
            <w:r>
              <w:rPr>
                <w:rFonts w:cstheme="minorHAnsi"/>
              </w:rPr>
              <w:t>Z</w:t>
            </w:r>
            <w:r w:rsidR="00BD371D">
              <w:rPr>
                <w:rFonts w:cstheme="minorHAnsi"/>
              </w:rPr>
              <w:t xml:space="preserve">estaw </w:t>
            </w:r>
            <w:r w:rsidR="00D638AC">
              <w:rPr>
                <w:rFonts w:cstheme="minorHAnsi"/>
              </w:rPr>
              <w:t>warsztat</w:t>
            </w:r>
            <w:r w:rsidR="00BE63FC">
              <w:rPr>
                <w:rFonts w:cstheme="minorHAnsi"/>
              </w:rPr>
              <w:t xml:space="preserve">owy, seminaryjny </w:t>
            </w:r>
            <w:r w:rsidR="00BD371D">
              <w:rPr>
                <w:rFonts w:cstheme="minorHAnsi"/>
              </w:rPr>
              <w:t>np.</w:t>
            </w:r>
            <w:r w:rsidR="00BD371D" w:rsidRPr="004D77C0">
              <w:rPr>
                <w:rFonts w:cstheme="minorHAnsi"/>
              </w:rPr>
              <w:t xml:space="preserve"> </w:t>
            </w:r>
            <w:r w:rsidR="000912FD">
              <w:rPr>
                <w:rFonts w:cstheme="minorHAnsi"/>
              </w:rPr>
              <w:t xml:space="preserve">teczka, </w:t>
            </w:r>
            <w:r w:rsidR="00D638AC">
              <w:rPr>
                <w:rFonts w:cstheme="minorHAnsi"/>
              </w:rPr>
              <w:t>notes, długopis.</w:t>
            </w:r>
          </w:p>
        </w:tc>
        <w:tc>
          <w:tcPr>
            <w:tcW w:w="2268" w:type="dxa"/>
            <w:vAlign w:val="center"/>
          </w:tcPr>
          <w:p w:rsidR="00BD371D" w:rsidRPr="004D77C0" w:rsidRDefault="00BD371D" w:rsidP="00D638AC">
            <w:pPr>
              <w:spacing w:line="480" w:lineRule="auto"/>
              <w:jc w:val="center"/>
              <w:rPr>
                <w:rFonts w:cstheme="minorHAnsi"/>
              </w:rPr>
            </w:pPr>
            <w:r>
              <w:rPr>
                <w:rFonts w:cstheme="minorHAnsi"/>
              </w:rPr>
              <w:t>komplet</w:t>
            </w:r>
          </w:p>
        </w:tc>
        <w:tc>
          <w:tcPr>
            <w:tcW w:w="3402" w:type="dxa"/>
            <w:vAlign w:val="center"/>
          </w:tcPr>
          <w:p w:rsidR="00BD371D" w:rsidRPr="004D77C0" w:rsidRDefault="00105F1C" w:rsidP="00612E63">
            <w:pPr>
              <w:spacing w:line="480" w:lineRule="auto"/>
              <w:jc w:val="right"/>
              <w:rPr>
                <w:rFonts w:cstheme="minorHAnsi"/>
              </w:rPr>
            </w:pPr>
            <w:r>
              <w:rPr>
                <w:rFonts w:cstheme="minorHAnsi"/>
              </w:rPr>
              <w:t>19,</w:t>
            </w:r>
            <w:r w:rsidR="00BD371D" w:rsidRPr="004D77C0">
              <w:rPr>
                <w:rFonts w:cstheme="minorHAnsi"/>
              </w:rPr>
              <w:t>00 zł</w:t>
            </w:r>
          </w:p>
        </w:tc>
      </w:tr>
    </w:tbl>
    <w:p w:rsidR="00C04205" w:rsidRPr="00F2571A" w:rsidRDefault="000C73C8" w:rsidP="000C73C8">
      <w:pPr>
        <w:spacing w:line="240" w:lineRule="auto"/>
        <w:jc w:val="both"/>
        <w:rPr>
          <w:sz w:val="20"/>
          <w:szCs w:val="20"/>
        </w:rPr>
      </w:pPr>
      <w:r>
        <w:rPr>
          <w:sz w:val="20"/>
          <w:szCs w:val="20"/>
        </w:rPr>
        <w:t>Zakup materiałów uzależniony będzie dodatkowo od potrzeb i specyf</w:t>
      </w:r>
      <w:r w:rsidR="00093A9E">
        <w:rPr>
          <w:sz w:val="20"/>
          <w:szCs w:val="20"/>
        </w:rPr>
        <w:t>iki warsztatowej</w:t>
      </w:r>
      <w:r w:rsidR="00913695">
        <w:rPr>
          <w:sz w:val="20"/>
          <w:szCs w:val="20"/>
        </w:rPr>
        <w:t>, seminaryjnej</w:t>
      </w:r>
      <w:r w:rsidR="00093A9E" w:rsidRPr="00093A9E">
        <w:rPr>
          <w:sz w:val="20"/>
          <w:szCs w:val="20"/>
        </w:rPr>
        <w:t xml:space="preserve"> </w:t>
      </w:r>
      <w:r w:rsidR="00203849">
        <w:rPr>
          <w:sz w:val="20"/>
          <w:szCs w:val="20"/>
        </w:rPr>
        <w:t xml:space="preserve">itp.  </w:t>
      </w:r>
      <w:r w:rsidR="00093A9E">
        <w:rPr>
          <w:sz w:val="20"/>
          <w:szCs w:val="20"/>
        </w:rPr>
        <w:t xml:space="preserve"> </w:t>
      </w:r>
      <w:r>
        <w:rPr>
          <w:sz w:val="20"/>
          <w:szCs w:val="20"/>
        </w:rPr>
        <w:t xml:space="preserve">Zestaw może uwzględnić inne, niezbędne materiały, np. kalendarz, ołówek, gumka.   </w:t>
      </w:r>
    </w:p>
    <w:p w:rsidR="000C73C8" w:rsidRPr="00EC58D3" w:rsidRDefault="000C73C8" w:rsidP="000C73C8">
      <w:pPr>
        <w:spacing w:line="240" w:lineRule="auto"/>
        <w:jc w:val="both"/>
        <w:rPr>
          <w:rFonts w:cs="Times New Roman"/>
          <w:b/>
          <w:color w:val="000000" w:themeColor="text1"/>
          <w:sz w:val="24"/>
          <w:szCs w:val="24"/>
        </w:rPr>
      </w:pPr>
      <w:r>
        <w:rPr>
          <w:rFonts w:eastAsia="Calibri" w:cs="Times New Roman"/>
          <w:b/>
          <w:color w:val="000000" w:themeColor="text1"/>
          <w:sz w:val="24"/>
          <w:szCs w:val="24"/>
          <w:lang w:eastAsia="en-US"/>
        </w:rPr>
        <w:t>Tabela 5</w:t>
      </w:r>
      <w:r w:rsidRPr="002474BD">
        <w:rPr>
          <w:rFonts w:eastAsia="Calibri" w:cs="Times New Roman"/>
          <w:b/>
          <w:color w:val="000000" w:themeColor="text1"/>
          <w:sz w:val="24"/>
          <w:szCs w:val="24"/>
          <w:lang w:eastAsia="en-US"/>
        </w:rPr>
        <w:t>.</w:t>
      </w:r>
    </w:p>
    <w:tbl>
      <w:tblPr>
        <w:tblStyle w:val="Tabela-Siatka"/>
        <w:tblW w:w="0" w:type="auto"/>
        <w:tblLayout w:type="fixed"/>
        <w:tblLook w:val="04A0"/>
      </w:tblPr>
      <w:tblGrid>
        <w:gridCol w:w="3510"/>
        <w:gridCol w:w="2268"/>
        <w:gridCol w:w="3402"/>
      </w:tblGrid>
      <w:tr w:rsidR="000C73C8" w:rsidRPr="005E6CAE" w:rsidTr="002E68A1">
        <w:trPr>
          <w:trHeight w:val="703"/>
        </w:trPr>
        <w:tc>
          <w:tcPr>
            <w:tcW w:w="9180" w:type="dxa"/>
            <w:gridSpan w:val="3"/>
            <w:shd w:val="clear" w:color="auto" w:fill="BFBFBF" w:themeFill="background1" w:themeFillShade="BF"/>
            <w:vAlign w:val="center"/>
          </w:tcPr>
          <w:p w:rsidR="000C73C8" w:rsidRPr="00F40FDC" w:rsidRDefault="000C73C8" w:rsidP="002E68A1">
            <w:pPr>
              <w:jc w:val="center"/>
              <w:rPr>
                <w:rFonts w:cstheme="minorHAnsi"/>
                <w:b/>
              </w:rPr>
            </w:pPr>
            <w:r w:rsidRPr="00F40FDC">
              <w:rPr>
                <w:rFonts w:cstheme="minorHAnsi"/>
                <w:b/>
              </w:rPr>
              <w:t>CATERING, NOCLEG, ZWROT KOSZTÓW DOJAZDU,</w:t>
            </w:r>
            <w:r>
              <w:rPr>
                <w:rFonts w:cstheme="minorHAnsi"/>
                <w:b/>
              </w:rPr>
              <w:t xml:space="preserve"> </w:t>
            </w:r>
            <w:r w:rsidRPr="00F40FDC">
              <w:rPr>
                <w:rFonts w:cstheme="minorHAnsi"/>
                <w:b/>
              </w:rPr>
              <w:t>DELEGACJE SŁUŻBOWE</w:t>
            </w:r>
          </w:p>
          <w:p w:rsidR="000C73C8" w:rsidRPr="005E6CAE" w:rsidRDefault="000C73C8" w:rsidP="002E68A1">
            <w:pPr>
              <w:jc w:val="center"/>
              <w:rPr>
                <w:rFonts w:cstheme="minorHAnsi"/>
                <w:b/>
                <w:sz w:val="24"/>
                <w:szCs w:val="24"/>
              </w:rPr>
            </w:pPr>
          </w:p>
        </w:tc>
      </w:tr>
      <w:tr w:rsidR="000C73C8" w:rsidRPr="005E6CAE" w:rsidTr="008D29EF">
        <w:tc>
          <w:tcPr>
            <w:tcW w:w="3510" w:type="dxa"/>
            <w:shd w:val="clear" w:color="auto" w:fill="D9D9D9" w:themeFill="background1" w:themeFillShade="D9"/>
          </w:tcPr>
          <w:p w:rsidR="000C73C8" w:rsidRPr="005E6CAE" w:rsidRDefault="000C73C8" w:rsidP="008D29EF">
            <w:pPr>
              <w:spacing w:line="480" w:lineRule="auto"/>
              <w:jc w:val="center"/>
              <w:rPr>
                <w:rFonts w:cstheme="minorHAnsi"/>
                <w:u w:val="single"/>
              </w:rPr>
            </w:pPr>
            <w:r>
              <w:rPr>
                <w:rFonts w:cstheme="minorHAnsi"/>
                <w:b/>
              </w:rPr>
              <w:t>R</w:t>
            </w:r>
            <w:r w:rsidRPr="00E02120">
              <w:rPr>
                <w:rFonts w:cstheme="minorHAnsi"/>
                <w:b/>
              </w:rPr>
              <w:t>odzaj wydatku</w:t>
            </w:r>
          </w:p>
        </w:tc>
        <w:tc>
          <w:tcPr>
            <w:tcW w:w="2268" w:type="dxa"/>
            <w:shd w:val="clear" w:color="auto" w:fill="D9D9D9" w:themeFill="background1" w:themeFillShade="D9"/>
          </w:tcPr>
          <w:p w:rsidR="000C73C8" w:rsidRPr="005E6CAE" w:rsidRDefault="000C73C8" w:rsidP="008D29EF">
            <w:pPr>
              <w:jc w:val="center"/>
              <w:rPr>
                <w:rFonts w:cstheme="minorHAnsi"/>
                <w:b/>
              </w:rPr>
            </w:pPr>
            <w:r>
              <w:rPr>
                <w:rFonts w:cstheme="minorHAnsi"/>
                <w:b/>
              </w:rPr>
              <w:t>jednostka</w:t>
            </w:r>
          </w:p>
        </w:tc>
        <w:tc>
          <w:tcPr>
            <w:tcW w:w="3402" w:type="dxa"/>
            <w:shd w:val="clear" w:color="auto" w:fill="D9D9D9" w:themeFill="background1" w:themeFillShade="D9"/>
          </w:tcPr>
          <w:p w:rsidR="000C73C8" w:rsidRPr="005E6CAE" w:rsidRDefault="000C73C8" w:rsidP="008D29EF">
            <w:pPr>
              <w:jc w:val="center"/>
              <w:rPr>
                <w:rFonts w:cstheme="minorHAnsi"/>
                <w:b/>
              </w:rPr>
            </w:pPr>
            <w:r>
              <w:rPr>
                <w:rFonts w:eastAsia="Calibri" w:cstheme="minorHAnsi"/>
                <w:b/>
                <w:bCs/>
                <w:iCs/>
                <w:color w:val="000000"/>
              </w:rPr>
              <w:t>Maksymalna</w:t>
            </w:r>
            <w:r>
              <w:rPr>
                <w:rFonts w:cstheme="minorHAnsi"/>
                <w:b/>
              </w:rPr>
              <w:t xml:space="preserve"> dopuszczalna</w:t>
            </w:r>
            <w:r w:rsidRPr="005E6CAE">
              <w:rPr>
                <w:rFonts w:cstheme="minorHAnsi"/>
                <w:b/>
              </w:rPr>
              <w:t xml:space="preserve"> stawka na osobę</w:t>
            </w:r>
          </w:p>
        </w:tc>
      </w:tr>
      <w:tr w:rsidR="000C73C8" w:rsidRPr="005E6CAE" w:rsidTr="008D29EF">
        <w:trPr>
          <w:trHeight w:val="921"/>
        </w:trPr>
        <w:tc>
          <w:tcPr>
            <w:tcW w:w="3510" w:type="dxa"/>
            <w:vAlign w:val="center"/>
          </w:tcPr>
          <w:p w:rsidR="000C73C8" w:rsidRPr="0028196D" w:rsidRDefault="000C73C8" w:rsidP="00BB5D1A">
            <w:pPr>
              <w:spacing w:line="276" w:lineRule="auto"/>
              <w:jc w:val="center"/>
              <w:rPr>
                <w:rFonts w:cstheme="minorHAnsi"/>
                <w:b/>
              </w:rPr>
            </w:pPr>
            <w:r>
              <w:rPr>
                <w:rFonts w:cstheme="minorHAnsi"/>
                <w:b/>
              </w:rPr>
              <w:t>Catering - p</w:t>
            </w:r>
            <w:r w:rsidRPr="00FE1BFC">
              <w:rPr>
                <w:rFonts w:cstheme="minorHAnsi"/>
                <w:b/>
              </w:rPr>
              <w:t>rzerwa kawowa</w:t>
            </w:r>
          </w:p>
        </w:tc>
        <w:tc>
          <w:tcPr>
            <w:tcW w:w="2268" w:type="dxa"/>
            <w:vAlign w:val="center"/>
          </w:tcPr>
          <w:p w:rsidR="000C73C8" w:rsidRPr="004D77C0" w:rsidRDefault="000C73C8" w:rsidP="008D29EF">
            <w:pPr>
              <w:spacing w:line="480" w:lineRule="auto"/>
              <w:jc w:val="center"/>
              <w:rPr>
                <w:rFonts w:cstheme="minorHAnsi"/>
              </w:rPr>
            </w:pPr>
            <w:r>
              <w:rPr>
                <w:rFonts w:cstheme="minorHAnsi"/>
              </w:rPr>
              <w:t>zestaw</w:t>
            </w:r>
          </w:p>
        </w:tc>
        <w:tc>
          <w:tcPr>
            <w:tcW w:w="3402" w:type="dxa"/>
            <w:vAlign w:val="center"/>
          </w:tcPr>
          <w:p w:rsidR="000C73C8" w:rsidRPr="004D77C0" w:rsidRDefault="000C73C8" w:rsidP="00612E63">
            <w:pPr>
              <w:spacing w:line="480" w:lineRule="auto"/>
              <w:jc w:val="right"/>
              <w:rPr>
                <w:rFonts w:cstheme="minorHAnsi"/>
              </w:rPr>
            </w:pPr>
            <w:r w:rsidRPr="009B2E08">
              <w:rPr>
                <w:rFonts w:cstheme="minorHAnsi"/>
              </w:rPr>
              <w:t>15,00 zł</w:t>
            </w:r>
          </w:p>
        </w:tc>
      </w:tr>
      <w:tr w:rsidR="000C73C8" w:rsidRPr="005E6CAE" w:rsidTr="008D29EF">
        <w:trPr>
          <w:trHeight w:val="814"/>
        </w:trPr>
        <w:tc>
          <w:tcPr>
            <w:tcW w:w="3510" w:type="dxa"/>
            <w:vAlign w:val="center"/>
          </w:tcPr>
          <w:p w:rsidR="006911E9" w:rsidRDefault="006911E9" w:rsidP="00BB5D1A">
            <w:pPr>
              <w:spacing w:line="276" w:lineRule="auto"/>
              <w:jc w:val="center"/>
              <w:rPr>
                <w:rFonts w:cstheme="minorHAnsi"/>
                <w:b/>
              </w:rPr>
            </w:pPr>
          </w:p>
          <w:p w:rsidR="000C73C8" w:rsidRPr="00F2571A" w:rsidRDefault="00F2571A" w:rsidP="00BB5D1A">
            <w:pPr>
              <w:spacing w:line="276" w:lineRule="auto"/>
              <w:jc w:val="center"/>
              <w:rPr>
                <w:rFonts w:cstheme="minorHAnsi"/>
              </w:rPr>
            </w:pPr>
            <w:r w:rsidRPr="00F2571A">
              <w:rPr>
                <w:rFonts w:cstheme="minorHAnsi"/>
                <w:b/>
              </w:rPr>
              <w:t>Catering – lunch/obiad</w:t>
            </w:r>
          </w:p>
          <w:p w:rsidR="000C73C8" w:rsidRPr="004D77C0" w:rsidRDefault="000C73C8" w:rsidP="00BB5D1A">
            <w:pPr>
              <w:spacing w:line="276" w:lineRule="auto"/>
              <w:jc w:val="center"/>
              <w:rPr>
                <w:rFonts w:cstheme="minorHAnsi"/>
              </w:rPr>
            </w:pPr>
          </w:p>
        </w:tc>
        <w:tc>
          <w:tcPr>
            <w:tcW w:w="2268" w:type="dxa"/>
            <w:vAlign w:val="center"/>
          </w:tcPr>
          <w:p w:rsidR="000C73C8" w:rsidRPr="004D77C0" w:rsidRDefault="000C73C8" w:rsidP="008D29EF">
            <w:pPr>
              <w:spacing w:line="480" w:lineRule="auto"/>
              <w:jc w:val="center"/>
              <w:rPr>
                <w:rFonts w:cstheme="minorHAnsi"/>
              </w:rPr>
            </w:pPr>
            <w:r>
              <w:rPr>
                <w:rFonts w:cstheme="minorHAnsi"/>
              </w:rPr>
              <w:t>zestaw</w:t>
            </w:r>
          </w:p>
        </w:tc>
        <w:tc>
          <w:tcPr>
            <w:tcW w:w="3402" w:type="dxa"/>
            <w:vAlign w:val="center"/>
          </w:tcPr>
          <w:p w:rsidR="000C73C8" w:rsidRPr="004D77C0" w:rsidRDefault="000C73C8" w:rsidP="00612E63">
            <w:pPr>
              <w:spacing w:line="480" w:lineRule="auto"/>
              <w:jc w:val="right"/>
              <w:rPr>
                <w:rFonts w:cstheme="minorHAnsi"/>
              </w:rPr>
            </w:pPr>
            <w:r w:rsidRPr="009B2E08">
              <w:rPr>
                <w:rFonts w:cs="Arial"/>
              </w:rPr>
              <w:t>2</w:t>
            </w:r>
            <w:r w:rsidR="00C840B3">
              <w:rPr>
                <w:rFonts w:cs="Arial"/>
              </w:rPr>
              <w:t>3</w:t>
            </w:r>
            <w:r w:rsidRPr="009B2E08">
              <w:rPr>
                <w:rFonts w:cs="Arial"/>
              </w:rPr>
              <w:t>,00 zł</w:t>
            </w:r>
          </w:p>
        </w:tc>
      </w:tr>
      <w:tr w:rsidR="000C73C8" w:rsidRPr="005E6CAE" w:rsidTr="008D29EF">
        <w:trPr>
          <w:trHeight w:val="805"/>
        </w:trPr>
        <w:tc>
          <w:tcPr>
            <w:tcW w:w="3510" w:type="dxa"/>
            <w:vAlign w:val="center"/>
          </w:tcPr>
          <w:p w:rsidR="000C73C8" w:rsidRDefault="000C73C8" w:rsidP="008D29EF">
            <w:pPr>
              <w:jc w:val="center"/>
              <w:rPr>
                <w:rFonts w:cstheme="minorHAnsi"/>
                <w:b/>
              </w:rPr>
            </w:pPr>
            <w:r>
              <w:rPr>
                <w:rFonts w:cstheme="minorHAnsi"/>
                <w:b/>
              </w:rPr>
              <w:t>Nocleg w kraju</w:t>
            </w:r>
          </w:p>
        </w:tc>
        <w:tc>
          <w:tcPr>
            <w:tcW w:w="2268" w:type="dxa"/>
            <w:vAlign w:val="center"/>
          </w:tcPr>
          <w:p w:rsidR="000C73C8" w:rsidRDefault="00E61D24" w:rsidP="008D29EF">
            <w:pPr>
              <w:spacing w:line="480" w:lineRule="auto"/>
              <w:jc w:val="center"/>
              <w:rPr>
                <w:rFonts w:cstheme="minorHAnsi"/>
              </w:rPr>
            </w:pPr>
            <w:r>
              <w:rPr>
                <w:rFonts w:cstheme="minorHAnsi"/>
              </w:rPr>
              <w:t>pokój 2-osobowy</w:t>
            </w:r>
          </w:p>
        </w:tc>
        <w:tc>
          <w:tcPr>
            <w:tcW w:w="3402" w:type="dxa"/>
            <w:vAlign w:val="center"/>
          </w:tcPr>
          <w:p w:rsidR="000C73C8" w:rsidRDefault="000C73C8" w:rsidP="00612E63">
            <w:pPr>
              <w:pStyle w:val="Style1"/>
              <w:adjustRightInd/>
              <w:jc w:val="right"/>
              <w:rPr>
                <w:rFonts w:cs="Arial"/>
              </w:rPr>
            </w:pPr>
            <w:r w:rsidRPr="009B2E08">
              <w:rPr>
                <w:rFonts w:cs="Arial"/>
              </w:rPr>
              <w:t>180,00 zł</w:t>
            </w:r>
          </w:p>
          <w:p w:rsidR="000C73C8" w:rsidRDefault="000C73C8" w:rsidP="008D29EF">
            <w:pPr>
              <w:pStyle w:val="Style1"/>
              <w:adjustRightInd/>
              <w:jc w:val="right"/>
              <w:rPr>
                <w:rFonts w:cstheme="minorHAnsi"/>
              </w:rPr>
            </w:pPr>
            <w:r w:rsidRPr="009B2E08">
              <w:rPr>
                <w:rFonts w:cs="Arial"/>
              </w:rPr>
              <w:t xml:space="preserve"> </w:t>
            </w:r>
          </w:p>
        </w:tc>
      </w:tr>
      <w:tr w:rsidR="000C73C8" w:rsidRPr="005E6CAE" w:rsidTr="00DD5BC0">
        <w:trPr>
          <w:trHeight w:val="279"/>
        </w:trPr>
        <w:tc>
          <w:tcPr>
            <w:tcW w:w="3510" w:type="dxa"/>
            <w:vAlign w:val="center"/>
          </w:tcPr>
          <w:p w:rsidR="000C73C8" w:rsidRDefault="000C73C8" w:rsidP="00F2571A">
            <w:pPr>
              <w:jc w:val="center"/>
              <w:rPr>
                <w:rFonts w:cstheme="minorHAnsi"/>
                <w:b/>
              </w:rPr>
            </w:pPr>
            <w:r>
              <w:rPr>
                <w:rFonts w:cstheme="minorHAnsi"/>
                <w:b/>
              </w:rPr>
              <w:t>Zwrot kosztów dojazdu</w:t>
            </w:r>
          </w:p>
        </w:tc>
        <w:tc>
          <w:tcPr>
            <w:tcW w:w="2268" w:type="dxa"/>
            <w:vAlign w:val="center"/>
          </w:tcPr>
          <w:p w:rsidR="000C73C8" w:rsidRDefault="000C73C8" w:rsidP="008D29EF">
            <w:pPr>
              <w:spacing w:line="480" w:lineRule="auto"/>
              <w:jc w:val="center"/>
              <w:rPr>
                <w:rFonts w:cstheme="minorHAnsi"/>
              </w:rPr>
            </w:pPr>
            <w:r>
              <w:rPr>
                <w:rFonts w:cstheme="minorHAnsi"/>
              </w:rPr>
              <w:t>ilość przejazdów</w:t>
            </w:r>
          </w:p>
        </w:tc>
        <w:tc>
          <w:tcPr>
            <w:tcW w:w="3402" w:type="dxa"/>
            <w:vAlign w:val="center"/>
          </w:tcPr>
          <w:p w:rsidR="000C73C8" w:rsidRPr="00DD5BC0" w:rsidRDefault="00DD5BC0" w:rsidP="008D29EF">
            <w:pPr>
              <w:jc w:val="center"/>
              <w:rPr>
                <w:rFonts w:cstheme="minorHAnsi"/>
                <w:sz w:val="20"/>
                <w:szCs w:val="20"/>
              </w:rPr>
            </w:pPr>
            <w:r w:rsidRPr="00DD5BC0">
              <w:rPr>
                <w:rFonts w:eastAsia="Times New Roman" w:cs="Arial"/>
                <w:sz w:val="20"/>
                <w:szCs w:val="20"/>
              </w:rPr>
              <w:t xml:space="preserve">Równowartość kosztu najtańszego środka transportu publicznego </w:t>
            </w:r>
            <w:r w:rsidRPr="00DD5BC0">
              <w:rPr>
                <w:rFonts w:eastAsia="Times New Roman" w:cs="Arial"/>
                <w:sz w:val="20"/>
                <w:szCs w:val="20"/>
              </w:rPr>
              <w:br/>
              <w:t>na danej trasie</w:t>
            </w:r>
            <w:r w:rsidRPr="00DD5BC0">
              <w:rPr>
                <w:rFonts w:cstheme="minorHAnsi"/>
                <w:sz w:val="20"/>
                <w:szCs w:val="20"/>
              </w:rPr>
              <w:t xml:space="preserve"> (</w:t>
            </w:r>
            <w:r w:rsidRPr="00DD5BC0">
              <w:rPr>
                <w:sz w:val="20"/>
                <w:szCs w:val="20"/>
              </w:rPr>
              <w:t>cena uzależniona od cenników operatorów komunikacji publicznej</w:t>
            </w:r>
            <w:r w:rsidRPr="00DD5BC0">
              <w:rPr>
                <w:rFonts w:cstheme="minorHAnsi"/>
                <w:sz w:val="20"/>
                <w:szCs w:val="20"/>
              </w:rPr>
              <w:t>)</w:t>
            </w:r>
          </w:p>
        </w:tc>
      </w:tr>
      <w:tr w:rsidR="000C73C8" w:rsidRPr="005E6CAE" w:rsidTr="008D29EF">
        <w:trPr>
          <w:trHeight w:val="975"/>
        </w:trPr>
        <w:tc>
          <w:tcPr>
            <w:tcW w:w="3510" w:type="dxa"/>
            <w:vAlign w:val="center"/>
          </w:tcPr>
          <w:p w:rsidR="000C73C8" w:rsidRDefault="000C73C8" w:rsidP="008D29EF">
            <w:pPr>
              <w:jc w:val="center"/>
              <w:rPr>
                <w:rFonts w:cstheme="minorHAnsi"/>
                <w:b/>
              </w:rPr>
            </w:pPr>
            <w:r>
              <w:rPr>
                <w:rFonts w:cstheme="minorHAnsi"/>
                <w:b/>
              </w:rPr>
              <w:t>Delegacje służbowe</w:t>
            </w:r>
          </w:p>
        </w:tc>
        <w:tc>
          <w:tcPr>
            <w:tcW w:w="2268" w:type="dxa"/>
            <w:vAlign w:val="center"/>
          </w:tcPr>
          <w:p w:rsidR="000C73C8" w:rsidRDefault="000C73C8" w:rsidP="008D29EF">
            <w:pPr>
              <w:spacing w:line="480" w:lineRule="auto"/>
              <w:jc w:val="center"/>
              <w:rPr>
                <w:rFonts w:cstheme="minorHAnsi"/>
              </w:rPr>
            </w:pPr>
            <w:r>
              <w:rPr>
                <w:rFonts w:cstheme="minorHAnsi"/>
              </w:rPr>
              <w:t>ryczałt/miesiąc</w:t>
            </w:r>
          </w:p>
        </w:tc>
        <w:tc>
          <w:tcPr>
            <w:tcW w:w="3402" w:type="dxa"/>
            <w:vAlign w:val="center"/>
          </w:tcPr>
          <w:p w:rsidR="000C73C8" w:rsidRPr="001A69D5" w:rsidRDefault="000C73C8" w:rsidP="008D29EF">
            <w:pPr>
              <w:jc w:val="center"/>
              <w:rPr>
                <w:rFonts w:cstheme="minorHAnsi"/>
                <w:sz w:val="20"/>
                <w:szCs w:val="20"/>
              </w:rPr>
            </w:pPr>
            <w:r w:rsidRPr="001A69D5">
              <w:rPr>
                <w:rFonts w:cstheme="minorHAnsi"/>
                <w:sz w:val="20"/>
                <w:szCs w:val="20"/>
              </w:rPr>
              <w:t xml:space="preserve">Zgodnie z rozporządzeniem Ministra Transportu z 23.10.2007 r. zmieniającym rozporządzenie </w:t>
            </w:r>
            <w:r w:rsidRPr="001A69D5">
              <w:rPr>
                <w:rFonts w:cstheme="minorHAnsi"/>
                <w:sz w:val="20"/>
                <w:szCs w:val="20"/>
              </w:rPr>
              <w:br/>
              <w:t xml:space="preserve">w sprawie warunków ustalania oraz sposobu dokonywania zwrotu kosztów używania do celów służbowych samochodów osobowych, motocykli </w:t>
            </w:r>
            <w:r w:rsidRPr="001A69D5">
              <w:rPr>
                <w:rFonts w:cstheme="minorHAnsi"/>
                <w:sz w:val="20"/>
                <w:szCs w:val="20"/>
              </w:rPr>
              <w:br/>
              <w:t>i motorowerów niebędących własnością pracodawcy</w:t>
            </w:r>
          </w:p>
        </w:tc>
      </w:tr>
    </w:tbl>
    <w:p w:rsidR="00C96394" w:rsidRPr="00531B44" w:rsidRDefault="00C96394" w:rsidP="00C96394">
      <w:pPr>
        <w:pStyle w:val="Zwykytekst"/>
        <w:spacing w:after="120"/>
        <w:jc w:val="both"/>
        <w:rPr>
          <w:rFonts w:asciiTheme="minorHAnsi" w:hAnsiTheme="minorHAnsi"/>
          <w:sz w:val="20"/>
          <w:szCs w:val="20"/>
        </w:rPr>
      </w:pPr>
      <w:r>
        <w:rPr>
          <w:rFonts w:asciiTheme="minorHAnsi" w:hAnsiTheme="minorHAnsi" w:cstheme="minorHAnsi"/>
          <w:sz w:val="20"/>
          <w:szCs w:val="20"/>
        </w:rPr>
        <w:t xml:space="preserve">Catering – </w:t>
      </w:r>
      <w:r w:rsidRPr="000E4485">
        <w:rPr>
          <w:rFonts w:asciiTheme="minorHAnsi" w:hAnsiTheme="minorHAnsi" w:cstheme="minorHAnsi"/>
          <w:sz w:val="20"/>
          <w:szCs w:val="20"/>
        </w:rPr>
        <w:t>przerwa kawowa</w:t>
      </w:r>
      <w:r>
        <w:rPr>
          <w:rFonts w:asciiTheme="minorHAnsi" w:hAnsiTheme="minorHAnsi" w:cstheme="minorHAnsi"/>
          <w:sz w:val="20"/>
          <w:szCs w:val="20"/>
        </w:rPr>
        <w:t xml:space="preserve"> – </w:t>
      </w:r>
      <w:r w:rsidRPr="009E4594">
        <w:rPr>
          <w:rFonts w:asciiTheme="minorHAnsi" w:hAnsiTheme="minorHAnsi"/>
          <w:sz w:val="20"/>
          <w:szCs w:val="20"/>
        </w:rPr>
        <w:t>wydatek nie powinien być kwalifikowany, jeżeli forma wsparcia w ramach której ma być świadczona przerwa kawowa dla tej samej grupy osób w danym dniu trwa krócej niż 4 godziny lekcyjne. Zakres: standardowa przerwa kawowa (kawa, herbata, woda, ciastka, soki, kanapki). Cena rynkowa powinna być uzależniona od rodzaju oferowanej usługi i jest niższa, jeśli finansowany jest mniejszy zakres usługi (np. kawa, herbata, woda, mleko, cukier cytryna bez drobnych lub słodkich przekąsek).</w:t>
      </w:r>
    </w:p>
    <w:p w:rsidR="00C96394" w:rsidRPr="009E4594" w:rsidRDefault="00C96394" w:rsidP="00C96394">
      <w:pPr>
        <w:spacing w:line="240" w:lineRule="auto"/>
        <w:jc w:val="both"/>
        <w:rPr>
          <w:rFonts w:cstheme="minorHAnsi"/>
          <w:sz w:val="20"/>
          <w:szCs w:val="20"/>
        </w:rPr>
      </w:pPr>
      <w:r w:rsidRPr="009E4594">
        <w:rPr>
          <w:rFonts w:cstheme="minorHAnsi"/>
          <w:sz w:val="20"/>
          <w:szCs w:val="20"/>
        </w:rPr>
        <w:t xml:space="preserve">Catering – lunch/obiad – możliwość kwalifikowania wydatku powinna zostać ograniczona do projektów, w których wsparcie dla tej samej grupy osób w danym dniu trwa nie krócej niż  6  godzin lekcyjnych. Zakres: obejmuje dwa dania (zupa i drugie danie), przy czym istnieje możliwość szerszego zakresu usługi, o ile mieści się w określonej cenie rynkowej. </w:t>
      </w:r>
      <w:r>
        <w:rPr>
          <w:rFonts w:cstheme="minorHAnsi"/>
          <w:sz w:val="20"/>
          <w:szCs w:val="20"/>
        </w:rPr>
        <w:t xml:space="preserve">Cena zestawu może ulec podwyższeniu w przypadku konieczności zakupu napoju (np. kompot, jeśli nie jest składową zestawu obiadowego). </w:t>
      </w:r>
      <w:r w:rsidRPr="009E4594">
        <w:rPr>
          <w:rFonts w:cstheme="minorHAnsi"/>
          <w:sz w:val="20"/>
          <w:szCs w:val="20"/>
        </w:rPr>
        <w:t>Cena rynkowa powinna być uzależniona od rodzaju oferowanej usługi i jest niższa, jeśli finansowany jest mniejszy zakres usługi (np. obiad składający się tylko z drugiego dania).</w:t>
      </w:r>
    </w:p>
    <w:p w:rsidR="00C96394" w:rsidRPr="00603607" w:rsidRDefault="00C96394" w:rsidP="00C96394">
      <w:pPr>
        <w:spacing w:line="240" w:lineRule="auto"/>
        <w:jc w:val="both"/>
        <w:rPr>
          <w:rFonts w:cstheme="minorHAnsi"/>
          <w:sz w:val="20"/>
          <w:szCs w:val="20"/>
        </w:rPr>
      </w:pPr>
      <w:r w:rsidRPr="00603607">
        <w:rPr>
          <w:sz w:val="20"/>
          <w:szCs w:val="20"/>
        </w:rPr>
        <w:t xml:space="preserve">Nocleg w kraju – </w:t>
      </w:r>
      <w:r w:rsidRPr="00603607">
        <w:rPr>
          <w:rFonts w:cstheme="minorHAnsi"/>
          <w:sz w:val="20"/>
          <w:szCs w:val="20"/>
        </w:rPr>
        <w:t xml:space="preserve">obejmuje nocleg w miejscu noclegowym o standardzie maksymalnie hotelu 3* wraz ze śniadaniem, przy czym istnieje możliwość szerszego zakresu usługi, o ile mieści się w określonej cenie rynkowej               i jest to uzasadnione celami projektu. Obejmuje nocleg, co do zasady w pokojach 2-osobowych (nocleg w pokojach 1-osobowych jest </w:t>
      </w:r>
      <w:proofErr w:type="spellStart"/>
      <w:r w:rsidRPr="00603607">
        <w:rPr>
          <w:rFonts w:cstheme="minorHAnsi"/>
          <w:sz w:val="20"/>
          <w:szCs w:val="20"/>
        </w:rPr>
        <w:t>kwalifikowalny</w:t>
      </w:r>
      <w:proofErr w:type="spellEnd"/>
      <w:r w:rsidRPr="00603607">
        <w:rPr>
          <w:rFonts w:cstheme="minorHAnsi"/>
          <w:sz w:val="20"/>
          <w:szCs w:val="20"/>
        </w:rPr>
        <w:t xml:space="preserve"> tylko w uzasadnionych przypadkach). Usługa powinna być zamawiana co do zasady w przypadku </w:t>
      </w:r>
      <w:r w:rsidRPr="00603607">
        <w:rPr>
          <w:rFonts w:eastAsia="Calibri" w:cs="Times New Roman"/>
          <w:sz w:val="20"/>
          <w:szCs w:val="20"/>
        </w:rPr>
        <w:t xml:space="preserve">warsztatów oraz innych form wsparcia trwających co najmniej </w:t>
      </w:r>
      <w:r w:rsidRPr="00603607">
        <w:rPr>
          <w:rFonts w:cstheme="minorHAnsi"/>
          <w:sz w:val="20"/>
          <w:szCs w:val="20"/>
        </w:rPr>
        <w:t xml:space="preserve">dwa dni. Jednocześnie możliwość zagwarantowania noclegu należy ograniczyć dla uczestników, którzy posiadają miejsce zamieszkania w miejscowości innej niż miejscowość, w której odbywa się realizacja wsparcia. W przypadku </w:t>
      </w:r>
      <w:r w:rsidRPr="00603607">
        <w:rPr>
          <w:rFonts w:ascii="Calibri" w:eastAsia="Calibri" w:hAnsi="Calibri" w:cs="Times New Roman"/>
          <w:sz w:val="20"/>
          <w:szCs w:val="20"/>
        </w:rPr>
        <w:t xml:space="preserve">warsztatów, seminariów, </w:t>
      </w:r>
      <w:r w:rsidR="006A597C">
        <w:rPr>
          <w:rFonts w:ascii="Calibri" w:eastAsia="Calibri" w:hAnsi="Calibri" w:cs="Times New Roman"/>
          <w:sz w:val="20"/>
          <w:szCs w:val="20"/>
        </w:rPr>
        <w:t>spotkań</w:t>
      </w:r>
      <w:r w:rsidRPr="00603607">
        <w:rPr>
          <w:rFonts w:cstheme="minorHAnsi"/>
          <w:sz w:val="20"/>
          <w:szCs w:val="20"/>
        </w:rPr>
        <w:t xml:space="preserve"> jednodniowych istnieje możliwość poniesienia w projekcie ww. kosztu w sytuacji, gdy miejsce prowadzenia </w:t>
      </w:r>
      <w:r w:rsidRPr="00603607">
        <w:rPr>
          <w:rFonts w:ascii="Calibri" w:eastAsia="Calibri" w:hAnsi="Calibri" w:cs="Times New Roman"/>
          <w:sz w:val="20"/>
          <w:szCs w:val="20"/>
        </w:rPr>
        <w:t>warsztatów</w:t>
      </w:r>
      <w:r w:rsidRPr="00603607">
        <w:rPr>
          <w:rFonts w:eastAsia="Calibri" w:cs="Times New Roman"/>
          <w:sz w:val="20"/>
          <w:szCs w:val="20"/>
        </w:rPr>
        <w:t xml:space="preserve"> oraz innych form wsparcia </w:t>
      </w:r>
      <w:r w:rsidRPr="00603607">
        <w:rPr>
          <w:rFonts w:cstheme="minorHAnsi"/>
          <w:sz w:val="20"/>
          <w:szCs w:val="20"/>
        </w:rPr>
        <w:t xml:space="preserve">jest znacznie oddalone od miejsca zamieszkania osoby w nim uczestniczącej. </w:t>
      </w:r>
      <w:r w:rsidRPr="00603607">
        <w:rPr>
          <w:sz w:val="20"/>
          <w:szCs w:val="20"/>
        </w:rPr>
        <w:t>Cena noclegu może zależeć również od dnia zameldowania, obowiązujących promocji itp.</w:t>
      </w:r>
    </w:p>
    <w:p w:rsidR="000C73C8" w:rsidRDefault="0030774F" w:rsidP="000C73C8">
      <w:pPr>
        <w:spacing w:line="240" w:lineRule="auto"/>
        <w:jc w:val="both"/>
        <w:rPr>
          <w:rFonts w:cstheme="minorHAnsi"/>
          <w:sz w:val="20"/>
          <w:szCs w:val="20"/>
        </w:rPr>
      </w:pPr>
      <w:r>
        <w:rPr>
          <w:rFonts w:cstheme="minorHAnsi"/>
          <w:sz w:val="20"/>
          <w:szCs w:val="20"/>
        </w:rPr>
        <w:t xml:space="preserve">Delegacje służbowe – </w:t>
      </w:r>
      <w:r w:rsidR="00F2571A">
        <w:rPr>
          <w:rFonts w:cstheme="minorHAnsi"/>
          <w:sz w:val="20"/>
          <w:szCs w:val="20"/>
        </w:rPr>
        <w:t>m</w:t>
      </w:r>
      <w:r w:rsidR="000C73C8">
        <w:rPr>
          <w:rFonts w:cstheme="minorHAnsi"/>
          <w:sz w:val="20"/>
          <w:szCs w:val="20"/>
        </w:rPr>
        <w:t>ożliwość kwalifikowania kosztu delegacji służbowych występuje pod warunkiem, iż delegacje służbowe:</w:t>
      </w:r>
    </w:p>
    <w:p w:rsidR="000C73C8" w:rsidRDefault="000C73C8" w:rsidP="000C73C8">
      <w:pPr>
        <w:pStyle w:val="Akapitzlist"/>
        <w:numPr>
          <w:ilvl w:val="0"/>
          <w:numId w:val="7"/>
        </w:numPr>
        <w:spacing w:line="240" w:lineRule="auto"/>
        <w:jc w:val="both"/>
        <w:rPr>
          <w:sz w:val="20"/>
          <w:szCs w:val="20"/>
        </w:rPr>
      </w:pPr>
      <w:r>
        <w:rPr>
          <w:sz w:val="20"/>
          <w:szCs w:val="20"/>
        </w:rPr>
        <w:t>są niezbędne dla zapewnienia prawidłowej realizacji projektu i osiągnięcia jego celów;</w:t>
      </w:r>
    </w:p>
    <w:p w:rsidR="000C73C8" w:rsidRDefault="000C73C8" w:rsidP="000C73C8">
      <w:pPr>
        <w:pStyle w:val="Akapitzlist"/>
        <w:numPr>
          <w:ilvl w:val="0"/>
          <w:numId w:val="7"/>
        </w:numPr>
        <w:spacing w:line="240" w:lineRule="auto"/>
        <w:jc w:val="both"/>
        <w:rPr>
          <w:sz w:val="20"/>
          <w:szCs w:val="20"/>
        </w:rPr>
      </w:pPr>
      <w:r>
        <w:rPr>
          <w:sz w:val="20"/>
          <w:szCs w:val="20"/>
        </w:rPr>
        <w:t>przeznaczone są dla personelu zatrudnionego na podstawie umowy o pracę;</w:t>
      </w:r>
    </w:p>
    <w:p w:rsidR="000C73C8" w:rsidRPr="00F2571A" w:rsidRDefault="000C73C8" w:rsidP="000C73C8">
      <w:pPr>
        <w:pStyle w:val="Akapitzlist"/>
        <w:numPr>
          <w:ilvl w:val="0"/>
          <w:numId w:val="7"/>
        </w:numPr>
        <w:spacing w:line="240" w:lineRule="auto"/>
        <w:jc w:val="both"/>
        <w:rPr>
          <w:sz w:val="20"/>
          <w:szCs w:val="20"/>
        </w:rPr>
      </w:pPr>
      <w:r>
        <w:rPr>
          <w:sz w:val="20"/>
          <w:szCs w:val="20"/>
        </w:rPr>
        <w:t>odbywają się wyłącznie na terenie województwa</w:t>
      </w:r>
      <w:r w:rsidR="00F2571A">
        <w:rPr>
          <w:sz w:val="20"/>
          <w:szCs w:val="20"/>
        </w:rPr>
        <w:t xml:space="preserve">/kraju. </w:t>
      </w:r>
    </w:p>
    <w:p w:rsidR="00F80690" w:rsidRPr="00E10E0F" w:rsidRDefault="00F80690" w:rsidP="00F80690">
      <w:pPr>
        <w:jc w:val="both"/>
        <w:rPr>
          <w:sz w:val="28"/>
          <w:szCs w:val="28"/>
        </w:rPr>
      </w:pPr>
      <w:r w:rsidRPr="00E10E0F">
        <w:rPr>
          <w:rFonts w:cs="Times New Roman"/>
          <w:b/>
          <w:sz w:val="24"/>
          <w:szCs w:val="24"/>
        </w:rPr>
        <w:t xml:space="preserve">Tabela </w:t>
      </w:r>
      <w:r>
        <w:rPr>
          <w:rFonts w:cs="Times New Roman"/>
          <w:b/>
          <w:sz w:val="24"/>
          <w:szCs w:val="24"/>
        </w:rPr>
        <w:t>6</w:t>
      </w:r>
      <w:r w:rsidRPr="00E10E0F">
        <w:rPr>
          <w:rFonts w:cs="Times New Roman"/>
          <w:b/>
          <w:sz w:val="24"/>
          <w:szCs w:val="24"/>
        </w:rPr>
        <w:t>.</w:t>
      </w:r>
    </w:p>
    <w:tbl>
      <w:tblPr>
        <w:tblStyle w:val="Tabela-Siatka"/>
        <w:tblW w:w="0" w:type="auto"/>
        <w:tblLayout w:type="fixed"/>
        <w:tblLook w:val="04A0"/>
      </w:tblPr>
      <w:tblGrid>
        <w:gridCol w:w="3510"/>
        <w:gridCol w:w="1560"/>
        <w:gridCol w:w="4394"/>
      </w:tblGrid>
      <w:tr w:rsidR="00F80690" w:rsidRPr="004C509B" w:rsidTr="00F80690">
        <w:trPr>
          <w:trHeight w:val="689"/>
        </w:trPr>
        <w:tc>
          <w:tcPr>
            <w:tcW w:w="9464" w:type="dxa"/>
            <w:gridSpan w:val="3"/>
            <w:shd w:val="clear" w:color="auto" w:fill="BFBFBF" w:themeFill="background1" w:themeFillShade="BF"/>
            <w:vAlign w:val="center"/>
          </w:tcPr>
          <w:p w:rsidR="00F80690" w:rsidRPr="00E10E0F" w:rsidRDefault="00F80690" w:rsidP="00F80690">
            <w:pPr>
              <w:jc w:val="center"/>
              <w:rPr>
                <w:rFonts w:cstheme="minorHAnsi"/>
                <w:b/>
              </w:rPr>
            </w:pPr>
            <w:r w:rsidRPr="00E10E0F">
              <w:rPr>
                <w:rFonts w:cstheme="minorHAnsi"/>
                <w:b/>
              </w:rPr>
              <w:t>MECHANIZM RACJONALNYCH USPRAWNIEŃ</w:t>
            </w:r>
          </w:p>
        </w:tc>
      </w:tr>
      <w:tr w:rsidR="00F80690" w:rsidRPr="004C509B" w:rsidTr="00F80690">
        <w:tc>
          <w:tcPr>
            <w:tcW w:w="3510" w:type="dxa"/>
            <w:shd w:val="clear" w:color="auto" w:fill="D9D9D9" w:themeFill="background1" w:themeFillShade="D9"/>
            <w:vAlign w:val="center"/>
          </w:tcPr>
          <w:p w:rsidR="00F80690" w:rsidRPr="00E10E0F" w:rsidRDefault="00F80690" w:rsidP="00F80690">
            <w:pPr>
              <w:spacing w:line="480" w:lineRule="auto"/>
              <w:jc w:val="center"/>
              <w:rPr>
                <w:rFonts w:cstheme="minorHAnsi"/>
                <w:u w:val="single"/>
              </w:rPr>
            </w:pPr>
            <w:r w:rsidRPr="00E10E0F">
              <w:rPr>
                <w:rFonts w:cstheme="minorHAnsi"/>
                <w:b/>
              </w:rPr>
              <w:t>Rodzaj wydatku</w:t>
            </w:r>
          </w:p>
        </w:tc>
        <w:tc>
          <w:tcPr>
            <w:tcW w:w="1560" w:type="dxa"/>
            <w:shd w:val="clear" w:color="auto" w:fill="D9D9D9" w:themeFill="background1" w:themeFillShade="D9"/>
            <w:vAlign w:val="center"/>
          </w:tcPr>
          <w:p w:rsidR="00F80690" w:rsidRPr="00E10E0F" w:rsidRDefault="00F80690" w:rsidP="00F80690">
            <w:pPr>
              <w:jc w:val="center"/>
              <w:rPr>
                <w:rFonts w:cstheme="minorHAnsi"/>
                <w:b/>
              </w:rPr>
            </w:pPr>
            <w:r w:rsidRPr="00E10E0F">
              <w:rPr>
                <w:rFonts w:cstheme="minorHAnsi"/>
                <w:b/>
              </w:rPr>
              <w:t>Jednostka</w:t>
            </w:r>
          </w:p>
        </w:tc>
        <w:tc>
          <w:tcPr>
            <w:tcW w:w="4394" w:type="dxa"/>
            <w:shd w:val="clear" w:color="auto" w:fill="D9D9D9" w:themeFill="background1" w:themeFillShade="D9"/>
            <w:vAlign w:val="center"/>
          </w:tcPr>
          <w:p w:rsidR="00F80690" w:rsidRPr="00E10E0F" w:rsidRDefault="00F80690" w:rsidP="00F80690">
            <w:pPr>
              <w:jc w:val="center"/>
              <w:rPr>
                <w:rFonts w:cstheme="minorHAnsi"/>
                <w:b/>
              </w:rPr>
            </w:pPr>
            <w:r w:rsidRPr="00E10E0F">
              <w:rPr>
                <w:rFonts w:eastAsia="Calibri" w:cstheme="minorHAnsi"/>
                <w:b/>
                <w:bCs/>
                <w:iCs/>
                <w:color w:val="000000"/>
              </w:rPr>
              <w:t>Maksymalna</w:t>
            </w:r>
            <w:r w:rsidRPr="00E10E0F">
              <w:rPr>
                <w:rFonts w:cstheme="minorHAnsi"/>
                <w:b/>
              </w:rPr>
              <w:t xml:space="preserve"> dopuszczalna stawka na osobę</w:t>
            </w:r>
          </w:p>
        </w:tc>
      </w:tr>
      <w:tr w:rsidR="00F80690" w:rsidRPr="004C509B" w:rsidTr="00F80690">
        <w:trPr>
          <w:trHeight w:val="514"/>
        </w:trPr>
        <w:tc>
          <w:tcPr>
            <w:tcW w:w="3510" w:type="dxa"/>
            <w:vAlign w:val="center"/>
          </w:tcPr>
          <w:p w:rsidR="00F80690" w:rsidRPr="00E10E0F" w:rsidRDefault="00F80690" w:rsidP="00F80690">
            <w:pPr>
              <w:jc w:val="center"/>
              <w:rPr>
                <w:rFonts w:cstheme="minorHAnsi"/>
              </w:rPr>
            </w:pPr>
            <w:r>
              <w:rPr>
                <w:rFonts w:cstheme="minorHAnsi"/>
              </w:rPr>
              <w:t xml:space="preserve">Koszty racjonalnych usprawnień </w:t>
            </w:r>
          </w:p>
        </w:tc>
        <w:tc>
          <w:tcPr>
            <w:tcW w:w="1560" w:type="dxa"/>
            <w:vAlign w:val="center"/>
          </w:tcPr>
          <w:p w:rsidR="00F80690" w:rsidRPr="00E10E0F" w:rsidRDefault="00F80690" w:rsidP="00F80690">
            <w:pPr>
              <w:jc w:val="center"/>
              <w:rPr>
                <w:rFonts w:cstheme="minorHAnsi"/>
              </w:rPr>
            </w:pPr>
            <w:r w:rsidRPr="00E10E0F">
              <w:rPr>
                <w:rFonts w:cstheme="minorHAnsi"/>
              </w:rPr>
              <w:t>osoba</w:t>
            </w:r>
          </w:p>
        </w:tc>
        <w:tc>
          <w:tcPr>
            <w:tcW w:w="4394" w:type="dxa"/>
            <w:vAlign w:val="center"/>
          </w:tcPr>
          <w:p w:rsidR="00F80690" w:rsidRPr="00E10E0F" w:rsidRDefault="00F80690" w:rsidP="00F80690">
            <w:pPr>
              <w:jc w:val="right"/>
              <w:rPr>
                <w:rFonts w:cstheme="minorHAnsi"/>
                <w:color w:val="000000" w:themeColor="text1"/>
              </w:rPr>
            </w:pPr>
            <w:r w:rsidRPr="00E10E0F">
              <w:rPr>
                <w:rFonts w:cstheme="minorHAnsi"/>
                <w:color w:val="000000" w:themeColor="text1"/>
              </w:rPr>
              <w:t>12 000,00 zł</w:t>
            </w:r>
          </w:p>
        </w:tc>
      </w:tr>
    </w:tbl>
    <w:p w:rsidR="00F80690" w:rsidRPr="00C65AF2" w:rsidRDefault="00F80690" w:rsidP="00F80690">
      <w:pPr>
        <w:spacing w:line="240" w:lineRule="auto"/>
        <w:jc w:val="both"/>
        <w:rPr>
          <w:color w:val="000000" w:themeColor="text1"/>
          <w:sz w:val="28"/>
          <w:szCs w:val="28"/>
          <w:u w:val="single"/>
        </w:rPr>
      </w:pPr>
      <w:r w:rsidRPr="00C65AF2">
        <w:rPr>
          <w:color w:val="000000" w:themeColor="text1"/>
          <w:sz w:val="20"/>
          <w:szCs w:val="20"/>
        </w:rPr>
        <w:t>Zgodnie z Wytycznymi w zakresie realizacji zasady równości szans i niedyskryminacji</w:t>
      </w:r>
      <w:r>
        <w:rPr>
          <w:color w:val="000000" w:themeColor="text1"/>
          <w:sz w:val="20"/>
          <w:szCs w:val="20"/>
        </w:rPr>
        <w:t>,</w:t>
      </w:r>
      <w:r w:rsidRPr="00C65AF2">
        <w:rPr>
          <w:color w:val="000000" w:themeColor="text1"/>
          <w:sz w:val="20"/>
          <w:szCs w:val="20"/>
        </w:rPr>
        <w:t xml:space="preserve"> w tym dostępności dla osób z </w:t>
      </w:r>
      <w:proofErr w:type="spellStart"/>
      <w:r w:rsidRPr="00C65AF2">
        <w:rPr>
          <w:color w:val="000000" w:themeColor="text1"/>
          <w:sz w:val="20"/>
          <w:szCs w:val="20"/>
        </w:rPr>
        <w:t>niepełnosprawnościami</w:t>
      </w:r>
      <w:proofErr w:type="spellEnd"/>
      <w:r w:rsidRPr="00C65AF2">
        <w:rPr>
          <w:color w:val="000000" w:themeColor="text1"/>
          <w:sz w:val="20"/>
          <w:szCs w:val="20"/>
        </w:rPr>
        <w:t xml:space="preserve"> oraz zasady równości szans kobiet i mężczyzn w ramach funduszy unijnych na lata 2014-2020</w:t>
      </w:r>
      <w:r>
        <w:rPr>
          <w:color w:val="000000" w:themeColor="text1"/>
          <w:sz w:val="20"/>
          <w:szCs w:val="20"/>
        </w:rPr>
        <w:t xml:space="preserve"> koszty racjonalnych usprawnień są przykładowym katalogiem kosztów możliwych do poniesienia w ramach projektu.</w:t>
      </w:r>
    </w:p>
    <w:p w:rsidR="00D06C59" w:rsidRPr="00FB0725" w:rsidRDefault="00D06C59" w:rsidP="00FB0725">
      <w:pPr>
        <w:spacing w:line="240" w:lineRule="auto"/>
        <w:jc w:val="both"/>
        <w:rPr>
          <w:rFonts w:cs="Times New Roman"/>
          <w:sz w:val="20"/>
          <w:szCs w:val="20"/>
        </w:rPr>
      </w:pPr>
      <w:r w:rsidRPr="00FB0725">
        <w:rPr>
          <w:rFonts w:cs="Times New Roman"/>
          <w:sz w:val="20"/>
          <w:szCs w:val="20"/>
        </w:rPr>
        <w:t xml:space="preserve">Mechanizm racjonalnych usprawnień to konieczne i odpowiednie zmiany oraz dostosowania, nienakładające nieproporcjonalnego lub nadmiernego obciążenia, rozpatrywane osobno dla każdego konkretnego przypadku, w celu zapewnienia osobom z </w:t>
      </w:r>
      <w:proofErr w:type="spellStart"/>
      <w:r w:rsidRPr="00FB0725">
        <w:rPr>
          <w:rFonts w:cs="Times New Roman"/>
          <w:sz w:val="20"/>
          <w:szCs w:val="20"/>
        </w:rPr>
        <w:t>niepełnosprawnościami</w:t>
      </w:r>
      <w:proofErr w:type="spellEnd"/>
      <w:r w:rsidRPr="00FB0725">
        <w:rPr>
          <w:rFonts w:cs="Times New Roman"/>
          <w:sz w:val="20"/>
          <w:szCs w:val="20"/>
        </w:rPr>
        <w:t xml:space="preserve"> możliwości korzystania z wszelkich praw człowieka i podstawowych wolności oraz ich wykonywania na zasadzie równości z innymi osobami.</w:t>
      </w:r>
    </w:p>
    <w:p w:rsidR="00D06C59" w:rsidRPr="00FB0725" w:rsidRDefault="00D06C59" w:rsidP="00FB0725">
      <w:pPr>
        <w:spacing w:line="240" w:lineRule="auto"/>
        <w:jc w:val="both"/>
        <w:rPr>
          <w:rFonts w:cs="Times New Roman"/>
          <w:sz w:val="20"/>
          <w:szCs w:val="20"/>
        </w:rPr>
      </w:pPr>
      <w:r w:rsidRPr="00FB0725">
        <w:rPr>
          <w:rFonts w:cs="Times New Roman"/>
          <w:sz w:val="20"/>
          <w:szCs w:val="20"/>
        </w:rPr>
        <w:t xml:space="preserve">W projektach ogólnodostępnych w celu zapewnienia możliwości pełnego uczestnictwa osób z </w:t>
      </w:r>
      <w:proofErr w:type="spellStart"/>
      <w:r w:rsidRPr="00FB0725">
        <w:rPr>
          <w:rFonts w:cs="Times New Roman"/>
          <w:sz w:val="20"/>
          <w:szCs w:val="20"/>
        </w:rPr>
        <w:t>niepełnosprawnościami</w:t>
      </w:r>
      <w:proofErr w:type="spellEnd"/>
      <w:r w:rsidRPr="00FB0725">
        <w:rPr>
          <w:rFonts w:cs="Times New Roman"/>
          <w:sz w:val="20"/>
          <w:szCs w:val="20"/>
        </w:rPr>
        <w:t xml:space="preserve"> należy zastosować mechanizm racjonalnych usprawnień.</w:t>
      </w:r>
      <w:r w:rsidRPr="00FB0725">
        <w:rPr>
          <w:rFonts w:cs="Times New Roman"/>
          <w:sz w:val="20"/>
          <w:szCs w:val="20"/>
        </w:rPr>
        <w:tab/>
      </w:r>
    </w:p>
    <w:p w:rsidR="00D06C59" w:rsidRPr="00FB0725" w:rsidRDefault="00D06C59" w:rsidP="00FB0725">
      <w:pPr>
        <w:spacing w:line="240" w:lineRule="auto"/>
        <w:jc w:val="both"/>
        <w:rPr>
          <w:rFonts w:cs="Times New Roman"/>
          <w:sz w:val="20"/>
          <w:szCs w:val="20"/>
        </w:rPr>
      </w:pPr>
      <w:r w:rsidRPr="00FB0725">
        <w:rPr>
          <w:rFonts w:cs="Times New Roman"/>
          <w:sz w:val="20"/>
          <w:szCs w:val="20"/>
        </w:rPr>
        <w:t xml:space="preserve">W projektach dedykowanych, w tym zorientowanych wyłącznie lub przede wszystkim na osoby z </w:t>
      </w:r>
      <w:proofErr w:type="spellStart"/>
      <w:r w:rsidRPr="00FB0725">
        <w:rPr>
          <w:rFonts w:cs="Times New Roman"/>
          <w:sz w:val="20"/>
          <w:szCs w:val="20"/>
        </w:rPr>
        <w:t>niepełnosprawnościami</w:t>
      </w:r>
      <w:proofErr w:type="spellEnd"/>
      <w:r w:rsidRPr="00FB0725">
        <w:rPr>
          <w:rFonts w:cs="Times New Roman"/>
          <w:sz w:val="20"/>
          <w:szCs w:val="20"/>
        </w:rPr>
        <w:t xml:space="preserve"> (np. osoby z </w:t>
      </w:r>
      <w:proofErr w:type="spellStart"/>
      <w:r w:rsidRPr="00FB0725">
        <w:rPr>
          <w:rFonts w:cs="Times New Roman"/>
          <w:sz w:val="20"/>
          <w:szCs w:val="20"/>
        </w:rPr>
        <w:t>niepełnosprawnościami</w:t>
      </w:r>
      <w:proofErr w:type="spellEnd"/>
      <w:r w:rsidRPr="00FB0725">
        <w:rPr>
          <w:rFonts w:cs="Times New Roman"/>
          <w:sz w:val="20"/>
          <w:szCs w:val="20"/>
        </w:rPr>
        <w:t xml:space="preserve"> sprzężonymi) oraz projektach skierowanych do zamkniętej grupy uczestników (np. dzieci określonego ośrodka wychowania przedszkolnego), wydatki na sfinansowanie mechanizmu racjonalnych usprawnień są wskazane we wniosku o dofinansowanie </w:t>
      </w:r>
      <w:proofErr w:type="spellStart"/>
      <w:r w:rsidRPr="00FB0725">
        <w:rPr>
          <w:rFonts w:cs="Times New Roman"/>
          <w:sz w:val="20"/>
          <w:szCs w:val="20"/>
        </w:rPr>
        <w:t>projektu</w:t>
      </w:r>
      <w:proofErr w:type="spellEnd"/>
      <w:r w:rsidRPr="00FB0725">
        <w:rPr>
          <w:rFonts w:cs="Times New Roman"/>
          <w:sz w:val="20"/>
          <w:szCs w:val="20"/>
        </w:rPr>
        <w:t>.</w:t>
      </w:r>
    </w:p>
    <w:p w:rsidR="00D06C59" w:rsidRPr="007F4455" w:rsidRDefault="00D06C59" w:rsidP="007F4455">
      <w:pPr>
        <w:spacing w:line="240" w:lineRule="auto"/>
        <w:jc w:val="both"/>
        <w:rPr>
          <w:rFonts w:cs="Times New Roman"/>
          <w:sz w:val="20"/>
          <w:szCs w:val="20"/>
        </w:rPr>
      </w:pPr>
      <w:r w:rsidRPr="007F4455">
        <w:rPr>
          <w:rFonts w:cs="Times New Roman"/>
          <w:sz w:val="20"/>
          <w:szCs w:val="20"/>
        </w:rPr>
        <w:t xml:space="preserve">Za osoby z </w:t>
      </w:r>
      <w:proofErr w:type="spellStart"/>
      <w:r w:rsidRPr="007F4455">
        <w:rPr>
          <w:rFonts w:cs="Times New Roman"/>
          <w:sz w:val="20"/>
          <w:szCs w:val="20"/>
        </w:rPr>
        <w:t>niepełnosprawnościami</w:t>
      </w:r>
      <w:proofErr w:type="spellEnd"/>
      <w:r w:rsidRPr="007F4455">
        <w:rPr>
          <w:rFonts w:cs="Times New Roman"/>
          <w:sz w:val="20"/>
          <w:szCs w:val="20"/>
        </w:rPr>
        <w:t xml:space="preserve"> należy uznać osoby niepełnosprawne w rozumieniu ustawy z dnia 27 sierpnia 1997 r. o rehabilitacji zawodowej i społecznej oraz zatrudnianiu osób niepełnosprawnych (Dz. U. z 2011 r. Nr 127, poz. 721, z </w:t>
      </w:r>
      <w:proofErr w:type="spellStart"/>
      <w:r w:rsidRPr="007F4455">
        <w:rPr>
          <w:rFonts w:cs="Times New Roman"/>
          <w:sz w:val="20"/>
          <w:szCs w:val="20"/>
        </w:rPr>
        <w:t>późn</w:t>
      </w:r>
      <w:proofErr w:type="spellEnd"/>
      <w:r w:rsidRPr="007F4455">
        <w:rPr>
          <w:rFonts w:cs="Times New Roman"/>
          <w:sz w:val="20"/>
          <w:szCs w:val="20"/>
        </w:rPr>
        <w:t>. zm.), a także osoby z zaburzeniami psychicznymi, w rozumieniu ustawy z dnia 19 sierpnia 1994 r. o ochronie zdrowia psychicznego (Dz. U. z 2011 r. Nr 231, poz. 1375).</w:t>
      </w:r>
    </w:p>
    <w:p w:rsidR="00D06C59" w:rsidRPr="007F4455" w:rsidRDefault="00D06C59" w:rsidP="007F4455">
      <w:pPr>
        <w:spacing w:line="240" w:lineRule="auto"/>
        <w:jc w:val="both"/>
        <w:rPr>
          <w:rFonts w:cs="Times New Roman"/>
          <w:sz w:val="20"/>
          <w:szCs w:val="20"/>
          <w:highlight w:val="yellow"/>
        </w:rPr>
      </w:pPr>
      <w:r w:rsidRPr="007F4455">
        <w:rPr>
          <w:rFonts w:cs="Times New Roman"/>
          <w:sz w:val="20"/>
          <w:szCs w:val="20"/>
        </w:rPr>
        <w:t xml:space="preserve">Każde racjonalne usprawnienie wynika z relacji przynajmniej trzech czynników: dysfunkcji związanej z danym uczestnikiem </w:t>
      </w:r>
      <w:proofErr w:type="spellStart"/>
      <w:r w:rsidRPr="007F4455">
        <w:rPr>
          <w:rFonts w:cs="Times New Roman"/>
          <w:sz w:val="20"/>
          <w:szCs w:val="20"/>
        </w:rPr>
        <w:t>projektu</w:t>
      </w:r>
      <w:proofErr w:type="spellEnd"/>
      <w:r w:rsidRPr="007F4455">
        <w:rPr>
          <w:rFonts w:cs="Times New Roman"/>
          <w:sz w:val="20"/>
          <w:szCs w:val="20"/>
        </w:rPr>
        <w:t xml:space="preserve">, barier otoczenia oraz charakteru usługi realizowanej w ramach </w:t>
      </w:r>
      <w:proofErr w:type="spellStart"/>
      <w:r w:rsidRPr="007F4455">
        <w:rPr>
          <w:rFonts w:cs="Times New Roman"/>
          <w:sz w:val="20"/>
          <w:szCs w:val="20"/>
        </w:rPr>
        <w:t>projektu</w:t>
      </w:r>
      <w:proofErr w:type="spellEnd"/>
      <w:r w:rsidRPr="007F4455">
        <w:rPr>
          <w:rFonts w:cs="Times New Roman"/>
          <w:sz w:val="20"/>
          <w:szCs w:val="20"/>
        </w:rPr>
        <w:t>.</w:t>
      </w:r>
    </w:p>
    <w:p w:rsidR="00D06C59" w:rsidRPr="007F4455" w:rsidRDefault="00D06C59" w:rsidP="007F4455">
      <w:pPr>
        <w:spacing w:line="240" w:lineRule="auto"/>
        <w:jc w:val="both"/>
        <w:rPr>
          <w:rFonts w:cs="Times New Roman"/>
          <w:sz w:val="20"/>
          <w:szCs w:val="20"/>
        </w:rPr>
      </w:pPr>
      <w:r w:rsidRPr="007F4455">
        <w:rPr>
          <w:rFonts w:cs="Times New Roman"/>
          <w:sz w:val="20"/>
          <w:szCs w:val="20"/>
        </w:rPr>
        <w:t>W ramach przykładowego katalogu kosztów racjonalnych usprawnień jest możliwe sfinansowanie:</w:t>
      </w:r>
    </w:p>
    <w:p w:rsidR="00D06C59" w:rsidRPr="007F4455" w:rsidRDefault="00D06C59" w:rsidP="00D06C59">
      <w:pPr>
        <w:spacing w:line="240" w:lineRule="auto"/>
        <w:ind w:left="709" w:hanging="425"/>
        <w:jc w:val="both"/>
        <w:rPr>
          <w:rFonts w:cs="Times New Roman"/>
          <w:sz w:val="20"/>
          <w:szCs w:val="20"/>
        </w:rPr>
      </w:pPr>
      <w:r w:rsidRPr="007F4455">
        <w:rPr>
          <w:rFonts w:cs="Times New Roman"/>
          <w:sz w:val="20"/>
          <w:szCs w:val="20"/>
        </w:rPr>
        <w:t>a) kosztów specjalistycznego transportu na miejsce realizacji wsparcia;</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b)</w:t>
      </w:r>
      <w:r w:rsidRPr="007F4455">
        <w:rPr>
          <w:rFonts w:cs="Times New Roman"/>
          <w:sz w:val="20"/>
          <w:szCs w:val="20"/>
        </w:rPr>
        <w:tab/>
        <w:t xml:space="preserve">dostosowania architektonicznego budynków niedostępnych (np. zmiana miejsca realizacji </w:t>
      </w:r>
      <w:proofErr w:type="spellStart"/>
      <w:r w:rsidRPr="007F4455">
        <w:rPr>
          <w:rFonts w:cs="Times New Roman"/>
          <w:sz w:val="20"/>
          <w:szCs w:val="20"/>
        </w:rPr>
        <w:t>projektu</w:t>
      </w:r>
      <w:proofErr w:type="spellEnd"/>
      <w:r w:rsidRPr="007F4455">
        <w:rPr>
          <w:rFonts w:cs="Times New Roman"/>
          <w:sz w:val="20"/>
          <w:szCs w:val="20"/>
        </w:rPr>
        <w:t xml:space="preserve">; budowa tymczasowych podjazdów; montaż platform, wind, podnośników; właściwe oznakowanie budynków poprzez wprowadzanie elementów kontrastowych i wypukłych celem właściwego oznakowania dla osób niewidomych i </w:t>
      </w:r>
      <w:proofErr w:type="spellStart"/>
      <w:r w:rsidRPr="007F4455">
        <w:rPr>
          <w:rFonts w:cs="Times New Roman"/>
          <w:sz w:val="20"/>
          <w:szCs w:val="20"/>
        </w:rPr>
        <w:t>słabowidzących</w:t>
      </w:r>
      <w:proofErr w:type="spellEnd"/>
      <w:r w:rsidRPr="007F4455">
        <w:rPr>
          <w:rFonts w:cs="Times New Roman"/>
          <w:sz w:val="20"/>
          <w:szCs w:val="20"/>
        </w:rPr>
        <w:t xml:space="preserve"> itp.);</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c)</w:t>
      </w:r>
      <w:r w:rsidRPr="007F4455">
        <w:rPr>
          <w:rFonts w:cs="Times New Roman"/>
          <w:sz w:val="20"/>
          <w:szCs w:val="20"/>
        </w:rPr>
        <w:tab/>
        <w:t xml:space="preserve">dostosowania infrastruktury komputerowej (np. wynajęcie lub zakup i instalacja programów powiększających, mówiących, kamer do kontaktu z osobą posługującą się językiem migowym, drukarek materiałów w alfabecie </w:t>
      </w:r>
      <w:proofErr w:type="spellStart"/>
      <w:r w:rsidRPr="007F4455">
        <w:rPr>
          <w:rFonts w:cs="Times New Roman"/>
          <w:sz w:val="20"/>
          <w:szCs w:val="20"/>
        </w:rPr>
        <w:t>Braille’a</w:t>
      </w:r>
      <w:proofErr w:type="spellEnd"/>
      <w:r w:rsidRPr="007F4455">
        <w:rPr>
          <w:rFonts w:cs="Times New Roman"/>
          <w:sz w:val="20"/>
          <w:szCs w:val="20"/>
        </w:rPr>
        <w:t>);</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d) dostosowania akustycznego (wynajęcie lub zakup i montaż systemów wspomagających słyszenie, np. pętli indukcyjnych, systemów FM);</w:t>
      </w:r>
    </w:p>
    <w:p w:rsidR="00D06C59" w:rsidRPr="007F4455" w:rsidRDefault="00D06C59" w:rsidP="00D06C59">
      <w:pPr>
        <w:spacing w:line="240" w:lineRule="auto"/>
        <w:ind w:left="709" w:hanging="425"/>
        <w:jc w:val="both"/>
        <w:rPr>
          <w:rFonts w:cs="Times New Roman"/>
          <w:sz w:val="20"/>
          <w:szCs w:val="20"/>
        </w:rPr>
      </w:pPr>
      <w:r w:rsidRPr="007F4455">
        <w:rPr>
          <w:rFonts w:cs="Times New Roman"/>
          <w:sz w:val="20"/>
          <w:szCs w:val="20"/>
        </w:rPr>
        <w:t>e) asystenta tłumaczącego na język łatwy;</w:t>
      </w:r>
    </w:p>
    <w:p w:rsidR="00D06C59" w:rsidRPr="007F4455" w:rsidRDefault="00D06C59" w:rsidP="00D06C59">
      <w:pPr>
        <w:spacing w:line="240" w:lineRule="auto"/>
        <w:ind w:left="709" w:hanging="425"/>
        <w:jc w:val="both"/>
        <w:rPr>
          <w:rFonts w:cs="Times New Roman"/>
          <w:sz w:val="20"/>
          <w:szCs w:val="20"/>
        </w:rPr>
      </w:pPr>
      <w:r w:rsidRPr="007F4455">
        <w:rPr>
          <w:rFonts w:cs="Times New Roman"/>
          <w:sz w:val="20"/>
          <w:szCs w:val="20"/>
        </w:rPr>
        <w:t>f) asystenta osoby z niepełnosprawnością;</w:t>
      </w:r>
    </w:p>
    <w:p w:rsidR="00D06C59" w:rsidRPr="007F4455" w:rsidRDefault="00D06C59" w:rsidP="00D06C59">
      <w:pPr>
        <w:spacing w:line="240" w:lineRule="auto"/>
        <w:ind w:left="709" w:hanging="425"/>
        <w:jc w:val="both"/>
        <w:rPr>
          <w:rFonts w:cs="Times New Roman"/>
          <w:sz w:val="20"/>
          <w:szCs w:val="20"/>
        </w:rPr>
      </w:pPr>
      <w:r w:rsidRPr="007F4455">
        <w:rPr>
          <w:rFonts w:cs="Times New Roman"/>
          <w:sz w:val="20"/>
          <w:szCs w:val="20"/>
        </w:rPr>
        <w:t>g) tłumacza języka migowego lub tłumacza-przewodnika;</w:t>
      </w:r>
    </w:p>
    <w:p w:rsidR="00D06C59" w:rsidRPr="007F4455" w:rsidRDefault="00D06C59" w:rsidP="00D06C59">
      <w:pPr>
        <w:spacing w:line="240" w:lineRule="auto"/>
        <w:ind w:left="709" w:hanging="425"/>
        <w:jc w:val="both"/>
        <w:rPr>
          <w:rFonts w:cs="Times New Roman"/>
          <w:sz w:val="20"/>
          <w:szCs w:val="20"/>
        </w:rPr>
      </w:pPr>
      <w:r w:rsidRPr="007F4455">
        <w:rPr>
          <w:rFonts w:cs="Times New Roman"/>
          <w:sz w:val="20"/>
          <w:szCs w:val="20"/>
        </w:rPr>
        <w:t>h) przewodnika dla osoby mającej trudności w widzeniu;</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i)</w:t>
      </w:r>
      <w:r w:rsidRPr="007F4455">
        <w:rPr>
          <w:rFonts w:cs="Times New Roman"/>
          <w:sz w:val="20"/>
          <w:szCs w:val="20"/>
        </w:rPr>
        <w:tab/>
        <w:t xml:space="preserve">alternatywnych form przygotowania materiałów projektowych (szkoleniowych, informacyjnych, np. wersje elektroniczne dokumentów, wersje w druku powiększonym, wersje pisane alfabetem </w:t>
      </w:r>
      <w:proofErr w:type="spellStart"/>
      <w:r w:rsidRPr="007F4455">
        <w:rPr>
          <w:rFonts w:cs="Times New Roman"/>
          <w:sz w:val="20"/>
          <w:szCs w:val="20"/>
        </w:rPr>
        <w:t>Braille’a</w:t>
      </w:r>
      <w:proofErr w:type="spellEnd"/>
      <w:r w:rsidRPr="007F4455">
        <w:rPr>
          <w:rFonts w:cs="Times New Roman"/>
          <w:sz w:val="20"/>
          <w:szCs w:val="20"/>
        </w:rPr>
        <w:t>, wersje w języku łatwym, nagranie tłumaczenia na język migowy na nośniku elektronicznym, itp.);</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 xml:space="preserve">j) </w:t>
      </w:r>
      <w:r w:rsidRPr="007F4455">
        <w:rPr>
          <w:rFonts w:cs="Times New Roman"/>
          <w:sz w:val="20"/>
          <w:szCs w:val="20"/>
        </w:rPr>
        <w:tab/>
        <w:t>zmiany procedur;</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k)</w:t>
      </w:r>
      <w:r w:rsidRPr="007F4455">
        <w:rPr>
          <w:rFonts w:cs="Times New Roman"/>
          <w:sz w:val="20"/>
          <w:szCs w:val="20"/>
        </w:rPr>
        <w:tab/>
        <w:t>wydłużonego czasu wsparcia (wynikającego np. z konieczności wolniejszego tłumaczenia na język migowy, wolnego mówienia, odczytywania komunikatów z ust, stosowania języka łatwego itp.);</w:t>
      </w:r>
    </w:p>
    <w:p w:rsidR="00D06C59" w:rsidRPr="007F4455" w:rsidRDefault="00D06C59" w:rsidP="00D06C59">
      <w:pPr>
        <w:spacing w:line="240" w:lineRule="auto"/>
        <w:ind w:left="567" w:hanging="283"/>
        <w:jc w:val="both"/>
        <w:rPr>
          <w:rFonts w:cs="Times New Roman"/>
          <w:sz w:val="20"/>
          <w:szCs w:val="20"/>
        </w:rPr>
      </w:pPr>
      <w:r w:rsidRPr="007F4455">
        <w:rPr>
          <w:rFonts w:cs="Times New Roman"/>
          <w:sz w:val="20"/>
          <w:szCs w:val="20"/>
        </w:rPr>
        <w:t>l)</w:t>
      </w:r>
      <w:r w:rsidRPr="007F4455">
        <w:rPr>
          <w:rFonts w:cs="Times New Roman"/>
          <w:sz w:val="20"/>
          <w:szCs w:val="20"/>
        </w:rPr>
        <w:tab/>
        <w:t xml:space="preserve">dostosowania posiłków, uwzględniania specyficznych potrzeb żywieniowych wynikających  </w:t>
      </w:r>
      <w:r w:rsidR="00AF2A24">
        <w:rPr>
          <w:rFonts w:cs="Times New Roman"/>
          <w:sz w:val="20"/>
          <w:szCs w:val="20"/>
        </w:rPr>
        <w:t xml:space="preserve">                              </w:t>
      </w:r>
      <w:r w:rsidRPr="007F4455">
        <w:rPr>
          <w:rFonts w:cs="Times New Roman"/>
          <w:sz w:val="20"/>
          <w:szCs w:val="20"/>
        </w:rPr>
        <w:t>z niepełnosprawności.</w:t>
      </w:r>
    </w:p>
    <w:p w:rsidR="00D06C59" w:rsidRPr="007F4455" w:rsidRDefault="00D06C59" w:rsidP="007F4455">
      <w:pPr>
        <w:spacing w:line="240" w:lineRule="auto"/>
        <w:jc w:val="both"/>
        <w:rPr>
          <w:rFonts w:cs="Times New Roman"/>
          <w:sz w:val="20"/>
          <w:szCs w:val="20"/>
        </w:rPr>
      </w:pPr>
      <w:r w:rsidRPr="007F4455">
        <w:rPr>
          <w:rFonts w:cs="Times New Roman"/>
          <w:sz w:val="20"/>
          <w:szCs w:val="20"/>
        </w:rPr>
        <w:t xml:space="preserve">Każdy wydatek poniesiony w celu ułatwienia dostępu i uczestnictwa </w:t>
      </w:r>
      <w:r w:rsidR="00AF2A24">
        <w:rPr>
          <w:rFonts w:cs="Times New Roman"/>
          <w:sz w:val="20"/>
          <w:szCs w:val="20"/>
        </w:rPr>
        <w:t xml:space="preserve">w projekcie osób </w:t>
      </w:r>
      <w:r w:rsidRPr="007F4455">
        <w:rPr>
          <w:rFonts w:cs="Times New Roman"/>
          <w:sz w:val="20"/>
          <w:szCs w:val="20"/>
        </w:rPr>
        <w:t xml:space="preserve">z </w:t>
      </w:r>
      <w:proofErr w:type="spellStart"/>
      <w:r w:rsidRPr="007F4455">
        <w:rPr>
          <w:rFonts w:cs="Times New Roman"/>
          <w:sz w:val="20"/>
          <w:szCs w:val="20"/>
        </w:rPr>
        <w:t>niepełnosprawnościami</w:t>
      </w:r>
      <w:proofErr w:type="spellEnd"/>
      <w:r w:rsidRPr="007F4455">
        <w:rPr>
          <w:rFonts w:cs="Times New Roman"/>
          <w:sz w:val="20"/>
          <w:szCs w:val="20"/>
        </w:rPr>
        <w:t xml:space="preserve"> jest </w:t>
      </w:r>
      <w:proofErr w:type="spellStart"/>
      <w:r w:rsidRPr="007F4455">
        <w:rPr>
          <w:rFonts w:cs="Times New Roman"/>
          <w:sz w:val="20"/>
          <w:szCs w:val="20"/>
        </w:rPr>
        <w:t>kwalifikowalny</w:t>
      </w:r>
      <w:proofErr w:type="spellEnd"/>
      <w:r w:rsidRPr="007F4455">
        <w:rPr>
          <w:rFonts w:cs="Times New Roman"/>
          <w:sz w:val="20"/>
          <w:szCs w:val="20"/>
        </w:rPr>
        <w:t xml:space="preserve">, o ile nie stanowi wydatku </w:t>
      </w:r>
      <w:proofErr w:type="spellStart"/>
      <w:r w:rsidRPr="007F4455">
        <w:rPr>
          <w:rFonts w:cs="Times New Roman"/>
          <w:sz w:val="20"/>
          <w:szCs w:val="20"/>
        </w:rPr>
        <w:t>niekwalifikowalnego</w:t>
      </w:r>
      <w:proofErr w:type="spellEnd"/>
      <w:r w:rsidRPr="007F4455">
        <w:rPr>
          <w:rFonts w:cs="Times New Roman"/>
          <w:sz w:val="20"/>
          <w:szCs w:val="20"/>
        </w:rPr>
        <w:t xml:space="preserve"> na mocy przepisów unijnych oraz Wytycznych Ministra Infrastruktury i Rozwoju w zakresie </w:t>
      </w:r>
      <w:proofErr w:type="spellStart"/>
      <w:r w:rsidRPr="007F4455">
        <w:rPr>
          <w:rFonts w:cs="Times New Roman"/>
          <w:sz w:val="20"/>
          <w:szCs w:val="20"/>
        </w:rPr>
        <w:t>kwalifikowalności</w:t>
      </w:r>
      <w:proofErr w:type="spellEnd"/>
      <w:r w:rsidRPr="007F4455">
        <w:rPr>
          <w:rFonts w:cs="Times New Roman"/>
          <w:sz w:val="20"/>
          <w:szCs w:val="20"/>
        </w:rPr>
        <w:t xml:space="preserve"> wydatków w ramach Europejskiego Funduszu Rozwoju Regionalnego, Europejskiego Funduszu Społecznego oraz Funduszu Spójności na lata 2014-2020.</w:t>
      </w:r>
    </w:p>
    <w:p w:rsidR="00D06C59" w:rsidRPr="007F4455" w:rsidRDefault="00D06C59" w:rsidP="007F4455">
      <w:pPr>
        <w:spacing w:line="240" w:lineRule="auto"/>
        <w:jc w:val="both"/>
        <w:rPr>
          <w:rFonts w:cs="Times New Roman"/>
          <w:sz w:val="20"/>
          <w:szCs w:val="20"/>
        </w:rPr>
      </w:pPr>
      <w:r w:rsidRPr="007F4455">
        <w:rPr>
          <w:rFonts w:cs="Times New Roman"/>
          <w:sz w:val="20"/>
          <w:szCs w:val="20"/>
        </w:rPr>
        <w:t>Łączny koszt racjonalnych usprawnień na jednego uczestnika w projekcie nie może przekroczyć 12 tys. PLN.</w:t>
      </w:r>
    </w:p>
    <w:p w:rsidR="00D06C59" w:rsidRPr="007F4455" w:rsidRDefault="00D06C59" w:rsidP="007F4455">
      <w:pPr>
        <w:spacing w:line="240" w:lineRule="auto"/>
        <w:jc w:val="both"/>
        <w:rPr>
          <w:rFonts w:cs="Times New Roman"/>
          <w:sz w:val="20"/>
          <w:szCs w:val="20"/>
        </w:rPr>
      </w:pPr>
      <w:r w:rsidRPr="007F4455">
        <w:rPr>
          <w:rFonts w:cs="Times New Roman"/>
          <w:sz w:val="20"/>
          <w:szCs w:val="20"/>
        </w:rPr>
        <w:t xml:space="preserve">Wydatki na wdrożenie mechanizmu racjonalnych usprawnień nie wlicza się do kosztu wsparcia na jednego uczestnika </w:t>
      </w:r>
      <w:proofErr w:type="spellStart"/>
      <w:r w:rsidRPr="007F4455">
        <w:rPr>
          <w:rFonts w:cs="Times New Roman"/>
          <w:sz w:val="20"/>
          <w:szCs w:val="20"/>
        </w:rPr>
        <w:t>projektu</w:t>
      </w:r>
      <w:proofErr w:type="spellEnd"/>
      <w:r w:rsidRPr="007F4455">
        <w:rPr>
          <w:rFonts w:cs="Times New Roman"/>
          <w:sz w:val="20"/>
          <w:szCs w:val="20"/>
        </w:rPr>
        <w:t xml:space="preserve">. </w:t>
      </w:r>
    </w:p>
    <w:p w:rsidR="00D06C59" w:rsidRPr="007F4455" w:rsidRDefault="00D06C59" w:rsidP="007F4455">
      <w:pPr>
        <w:spacing w:line="240" w:lineRule="auto"/>
        <w:jc w:val="both"/>
        <w:rPr>
          <w:sz w:val="20"/>
          <w:szCs w:val="20"/>
        </w:rPr>
      </w:pPr>
      <w:r w:rsidRPr="007F4455">
        <w:rPr>
          <w:sz w:val="20"/>
          <w:szCs w:val="20"/>
        </w:rPr>
        <w:t>Beneficjent powinien uzasadnić konieczność poniesienia kosztu racjonalnego usprawnienia z zastosowaniem najbardziej efektywnego dla danego przypadku sposobu (np. prymat wynajmu nad zakupem).</w:t>
      </w:r>
    </w:p>
    <w:p w:rsidR="00984567" w:rsidRPr="004B6A5C" w:rsidRDefault="00984567" w:rsidP="000C73C8">
      <w:pPr>
        <w:spacing w:line="240" w:lineRule="auto"/>
        <w:jc w:val="both"/>
        <w:rPr>
          <w:sz w:val="20"/>
          <w:szCs w:val="20"/>
        </w:rPr>
      </w:pPr>
    </w:p>
    <w:p w:rsidR="000C73C8" w:rsidRPr="00730114" w:rsidRDefault="000C73C8" w:rsidP="00F2571A">
      <w:pPr>
        <w:pStyle w:val="Zwykytekst"/>
        <w:pBdr>
          <w:top w:val="single" w:sz="4" w:space="1" w:color="auto"/>
          <w:left w:val="single" w:sz="4" w:space="4" w:color="auto"/>
          <w:bottom w:val="single" w:sz="4" w:space="15" w:color="auto"/>
          <w:right w:val="single" w:sz="4" w:space="4" w:color="auto"/>
        </w:pBdr>
        <w:shd w:val="clear" w:color="auto" w:fill="D9D9D9" w:themeFill="background1" w:themeFillShade="D9"/>
        <w:spacing w:after="120"/>
        <w:jc w:val="center"/>
        <w:rPr>
          <w:rFonts w:asciiTheme="minorHAnsi" w:hAnsiTheme="minorHAnsi"/>
          <w:b/>
          <w:sz w:val="28"/>
          <w:szCs w:val="28"/>
        </w:rPr>
      </w:pPr>
      <w:r w:rsidRPr="00730114">
        <w:rPr>
          <w:rFonts w:asciiTheme="minorHAnsi" w:hAnsiTheme="minorHAnsi"/>
          <w:b/>
          <w:sz w:val="28"/>
          <w:szCs w:val="28"/>
        </w:rPr>
        <w:t>PODSTAWA PRAWNA</w:t>
      </w:r>
    </w:p>
    <w:p w:rsidR="000C73C8" w:rsidRPr="00730114" w:rsidRDefault="000C73C8" w:rsidP="000C73C8">
      <w:pPr>
        <w:pStyle w:val="Default"/>
        <w:jc w:val="both"/>
        <w:rPr>
          <w:rFonts w:asciiTheme="minorHAnsi" w:hAnsiTheme="minorHAnsi"/>
          <w:color w:val="auto"/>
          <w:sz w:val="20"/>
          <w:szCs w:val="20"/>
        </w:rPr>
      </w:pPr>
    </w:p>
    <w:p w:rsidR="000C73C8" w:rsidRDefault="000C73C8" w:rsidP="000C73C8">
      <w:pPr>
        <w:spacing w:line="240" w:lineRule="auto"/>
        <w:jc w:val="both"/>
        <w:rPr>
          <w:rFonts w:cs="Calibri"/>
          <w:lang w:eastAsia="en-US"/>
        </w:rPr>
      </w:pPr>
      <w:r w:rsidRPr="00730114">
        <w:t xml:space="preserve">Minimalny standard usług i katalog stawek </w:t>
      </w:r>
      <w:r w:rsidRPr="00730114">
        <w:rPr>
          <w:rFonts w:cs="Calibri"/>
          <w:lang w:eastAsia="en-US"/>
        </w:rPr>
        <w:t>nie jest katalogiem zamkniętym i wszelki</w:t>
      </w:r>
      <w:r w:rsidR="00535369">
        <w:rPr>
          <w:rFonts w:cs="Calibri"/>
          <w:lang w:eastAsia="en-US"/>
        </w:rPr>
        <w:t>e koszty usług/środków trwałych</w:t>
      </w:r>
      <w:r w:rsidRPr="00730114">
        <w:rPr>
          <w:rFonts w:cs="Calibri"/>
          <w:lang w:eastAsia="en-US"/>
        </w:rPr>
        <w:t>, które nie</w:t>
      </w:r>
      <w:r w:rsidRPr="00730114">
        <w:t xml:space="preserve"> </w:t>
      </w:r>
      <w:r w:rsidRPr="00730114">
        <w:rPr>
          <w:rFonts w:cs="Calibri"/>
          <w:lang w:eastAsia="en-US"/>
        </w:rPr>
        <w:t>zostały w nim ujęte powinny być zgodne z cenami rynkowymi oraz spełniać zasady</w:t>
      </w:r>
      <w:r w:rsidRPr="00730114">
        <w:t xml:space="preserve"> </w:t>
      </w:r>
      <w:r w:rsidRPr="00730114">
        <w:rPr>
          <w:rFonts w:cs="Calibri"/>
          <w:lang w:eastAsia="en-US"/>
        </w:rPr>
        <w:t>kwalifikowalności.</w:t>
      </w:r>
    </w:p>
    <w:p w:rsidR="00ED24B9" w:rsidRPr="00ED24B9" w:rsidRDefault="00ED24B9" w:rsidP="00ED24B9">
      <w:pPr>
        <w:spacing w:after="0"/>
        <w:jc w:val="both"/>
      </w:pPr>
      <w:r w:rsidRPr="00ED24B9">
        <w:t xml:space="preserve">Fakt wskazania danej stawki we wniosku o dofinansowanie nie może być podstawą beneficjenta do "uzasadnienia" wydatku uznanego za </w:t>
      </w:r>
      <w:proofErr w:type="spellStart"/>
      <w:r w:rsidRPr="00ED24B9">
        <w:t>niekwalifikowalny</w:t>
      </w:r>
      <w:proofErr w:type="spellEnd"/>
      <w:r w:rsidRPr="00ED24B9">
        <w:t xml:space="preserve"> na etapie zatwierdzania wniosku </w:t>
      </w:r>
      <w:r>
        <w:t xml:space="preserve">  </w:t>
      </w:r>
      <w:r w:rsidRPr="00ED24B9">
        <w:t>o płatność i/lub kontroli (jeśli oczywiście wystąpią podstawy do uznania wydatków za niekwalifikowalne).</w:t>
      </w:r>
    </w:p>
    <w:p w:rsidR="00ED24B9" w:rsidRPr="00730114" w:rsidRDefault="00ED24B9" w:rsidP="000C73C8">
      <w:pPr>
        <w:spacing w:line="240" w:lineRule="auto"/>
        <w:jc w:val="both"/>
        <w:rPr>
          <w:rFonts w:cs="Calibri"/>
          <w:lang w:eastAsia="en-US"/>
        </w:rPr>
      </w:pPr>
    </w:p>
    <w:p w:rsidR="00B52C03" w:rsidRPr="00730114" w:rsidRDefault="00B52C03" w:rsidP="00B52C03">
      <w:pPr>
        <w:autoSpaceDE w:val="0"/>
        <w:autoSpaceDN w:val="0"/>
        <w:adjustRightInd w:val="0"/>
        <w:spacing w:line="240" w:lineRule="auto"/>
        <w:jc w:val="both"/>
        <w:rPr>
          <w:rFonts w:cs="Calibri"/>
          <w:lang w:eastAsia="en-US"/>
        </w:rPr>
      </w:pPr>
      <w:r w:rsidRPr="00730114">
        <w:rPr>
          <w:rFonts w:cs="Calibri"/>
          <w:lang w:eastAsia="en-US"/>
        </w:rPr>
        <w:t>Realizacja wsparcia w ramach RPO WD 2014-2020 Działania 9.4 w kwestiach nieuregulowanych w przedmiotowym dokumencie powinna być zgodna z przepisami prawa krajowego i wspólnotowego oraz dokumentami programow</w:t>
      </w:r>
      <w:r w:rsidR="00126DD3">
        <w:rPr>
          <w:rFonts w:cs="Calibri"/>
          <w:lang w:eastAsia="en-US"/>
        </w:rPr>
        <w:t>ania</w:t>
      </w:r>
      <w:r w:rsidRPr="00730114">
        <w:rPr>
          <w:rFonts w:cs="Calibri"/>
          <w:lang w:eastAsia="en-US"/>
        </w:rPr>
        <w:t xml:space="preserve"> na lata 2014 2020.</w:t>
      </w:r>
    </w:p>
    <w:p w:rsidR="00B52C03" w:rsidRPr="00730114" w:rsidRDefault="00B52C03" w:rsidP="00B52C03">
      <w:pPr>
        <w:jc w:val="both"/>
      </w:pPr>
      <w:r w:rsidRPr="00730114">
        <w:rPr>
          <w:rFonts w:eastAsia="Times New Roman" w:cs="Times"/>
          <w:b/>
          <w:bCs/>
        </w:rPr>
        <w:t xml:space="preserve">Realizacja wsparcia powinna uwzględniać między innymi następujące regulacja prawne </w:t>
      </w:r>
      <w:r w:rsidR="00241A01">
        <w:rPr>
          <w:rFonts w:eastAsia="Times New Roman" w:cs="Times"/>
          <w:b/>
          <w:bCs/>
        </w:rPr>
        <w:t xml:space="preserve">                                     </w:t>
      </w:r>
      <w:r w:rsidRPr="00730114">
        <w:rPr>
          <w:rFonts w:eastAsia="Times New Roman" w:cs="Times"/>
          <w:b/>
          <w:bCs/>
        </w:rPr>
        <w:t>i dokumenty programowe</w:t>
      </w:r>
      <w:r w:rsidRPr="00730114">
        <w:t xml:space="preserve">, </w:t>
      </w:r>
      <w:r w:rsidRPr="00730114">
        <w:rPr>
          <w:b/>
        </w:rPr>
        <w:t>w tym wytyczne:</w:t>
      </w:r>
    </w:p>
    <w:p w:rsidR="004C0C02" w:rsidRPr="00730114" w:rsidRDefault="004C0C02" w:rsidP="004C0C02">
      <w:pPr>
        <w:pStyle w:val="Akapitzlist"/>
        <w:numPr>
          <w:ilvl w:val="0"/>
          <w:numId w:val="15"/>
        </w:numPr>
        <w:spacing w:after="0" w:line="240" w:lineRule="auto"/>
        <w:contextualSpacing w:val="0"/>
        <w:jc w:val="both"/>
      </w:pPr>
      <w:r w:rsidRPr="00730114">
        <w:t>Traktat o funkcjonowaniu Unii Europejskiej (DZ. URZ. C 326 Z 26.10.2012);</w:t>
      </w:r>
    </w:p>
    <w:p w:rsidR="004C0C02" w:rsidRPr="00730114" w:rsidRDefault="004C0C02" w:rsidP="004C0C02">
      <w:pPr>
        <w:pStyle w:val="Akapitzlist"/>
        <w:numPr>
          <w:ilvl w:val="0"/>
          <w:numId w:val="15"/>
        </w:numPr>
        <w:spacing w:after="0" w:line="240" w:lineRule="auto"/>
        <w:contextualSpacing w:val="0"/>
        <w:jc w:val="both"/>
      </w:pPr>
      <w:r w:rsidRPr="00730114">
        <w:t>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 rozporządzenie Rady (WE) nr 1083/2006 (Dz. Urz. UE L 347 z 20.12.2013, str. 320) - zwanego dalej rozporządzeniem ogólnym;</w:t>
      </w:r>
    </w:p>
    <w:p w:rsidR="004C0C02" w:rsidRPr="00730114" w:rsidRDefault="004C0C02" w:rsidP="004C0C02">
      <w:pPr>
        <w:pStyle w:val="Akapitzlist"/>
        <w:numPr>
          <w:ilvl w:val="0"/>
          <w:numId w:val="15"/>
        </w:numPr>
        <w:spacing w:after="0" w:line="240" w:lineRule="auto"/>
        <w:contextualSpacing w:val="0"/>
        <w:jc w:val="both"/>
      </w:pPr>
      <w:r w:rsidRPr="00730114">
        <w:t>Rozporządzenie Parlamentu Europejskiego i Rady (UE) nr 1304/2013 z dnia 17 grudnia 2013 r. w sprawie Europejskiego Funduszu Społecznego i uchylające rozporządzenie Rady (WE) nr 1081/2006 (Dz. Urz. UE L 347 z 20.12.2013,);</w:t>
      </w:r>
    </w:p>
    <w:p w:rsidR="004C0C02" w:rsidRPr="00730114" w:rsidRDefault="004C0C02" w:rsidP="004C0C02">
      <w:pPr>
        <w:pStyle w:val="Akapitzlist"/>
        <w:numPr>
          <w:ilvl w:val="0"/>
          <w:numId w:val="15"/>
        </w:numPr>
        <w:spacing w:after="0" w:line="240" w:lineRule="auto"/>
        <w:contextualSpacing w:val="0"/>
        <w:jc w:val="both"/>
      </w:pPr>
      <w:r w:rsidRPr="00730114">
        <w:t xml:space="preserve">Rozporządzenie Komisji (UE) nr 1407/2013 z dnia 18 grudnia 2013 r. w sprawie stosowania art. 107 i 108 Traktatu o funkcjonowaniu Unii Europejskiej do </w:t>
      </w:r>
      <w:r w:rsidRPr="00730114">
        <w:rPr>
          <w:i/>
          <w:iCs/>
        </w:rPr>
        <w:t xml:space="preserve">pomocy de </w:t>
      </w:r>
      <w:proofErr w:type="spellStart"/>
      <w:r w:rsidRPr="00730114">
        <w:rPr>
          <w:i/>
          <w:iCs/>
        </w:rPr>
        <w:t>minimis</w:t>
      </w:r>
      <w:proofErr w:type="spellEnd"/>
      <w:r w:rsidRPr="00730114">
        <w:t xml:space="preserve"> (Dz. Urz. UE L 352 z 24.12.2013,);</w:t>
      </w:r>
    </w:p>
    <w:p w:rsidR="004C0C02" w:rsidRPr="00730114" w:rsidRDefault="004C0C02" w:rsidP="004C0C02">
      <w:pPr>
        <w:pStyle w:val="Akapitzlist"/>
        <w:numPr>
          <w:ilvl w:val="0"/>
          <w:numId w:val="15"/>
        </w:numPr>
        <w:spacing w:after="0" w:line="240" w:lineRule="auto"/>
        <w:contextualSpacing w:val="0"/>
        <w:jc w:val="both"/>
      </w:pPr>
      <w:r w:rsidRPr="00730114">
        <w:t>Rozporządzenie Komisji (UE) nr 651/2014 z dnia 17 czerwca 2014 r. uznające niektóre rodzaje pomocy za zgodne z rynkiem wewnętrznym w zastosowaniu art. 107 i 108 Traktatu (Dz. Urz. UE L 187 26.06.2014,);</w:t>
      </w:r>
    </w:p>
    <w:p w:rsidR="004C0C02" w:rsidRPr="00730114" w:rsidRDefault="004C0C02" w:rsidP="004C0C02">
      <w:pPr>
        <w:pStyle w:val="Akapitzlist"/>
        <w:numPr>
          <w:ilvl w:val="0"/>
          <w:numId w:val="15"/>
        </w:numPr>
        <w:spacing w:after="0" w:line="240" w:lineRule="auto"/>
        <w:contextualSpacing w:val="0"/>
        <w:jc w:val="both"/>
      </w:pPr>
      <w:r w:rsidRPr="00730114">
        <w:t>Ustawa z dnia 11 lipca 2014 r. o zasadach realizacji programów w zakresie polityki spójności finansowanych w perspektywie finansowej 2014–2020 (</w:t>
      </w:r>
      <w:proofErr w:type="spellStart"/>
      <w:r w:rsidRPr="00730114">
        <w:t>t.j</w:t>
      </w:r>
      <w:proofErr w:type="spellEnd"/>
      <w:r w:rsidRPr="00730114">
        <w:t>. Dz. U z 2014 r. poz. 1146, z późn. zm.);</w:t>
      </w:r>
    </w:p>
    <w:p w:rsidR="004C0C02" w:rsidRPr="00730114" w:rsidRDefault="004C0C02" w:rsidP="004C0C02">
      <w:pPr>
        <w:pStyle w:val="Akapitzlist"/>
        <w:numPr>
          <w:ilvl w:val="0"/>
          <w:numId w:val="15"/>
        </w:numPr>
        <w:spacing w:after="0" w:line="240" w:lineRule="auto"/>
        <w:contextualSpacing w:val="0"/>
        <w:jc w:val="both"/>
      </w:pPr>
      <w:r w:rsidRPr="00730114">
        <w:t>Ustawa z dnia 20 kwietnia 2004 r. o promocji zatrudnienia i instytucjach rynku pracy (</w:t>
      </w:r>
      <w:proofErr w:type="spellStart"/>
      <w:r w:rsidRPr="00730114">
        <w:t>t.j</w:t>
      </w:r>
      <w:proofErr w:type="spellEnd"/>
      <w:r w:rsidRPr="00730114">
        <w:t xml:space="preserve">. Dz. U. z 2013 r. poz. 674, z późn. zm.);  </w:t>
      </w:r>
    </w:p>
    <w:p w:rsidR="004C0C02" w:rsidRPr="00730114" w:rsidRDefault="004C0C02" w:rsidP="004C0C02">
      <w:pPr>
        <w:pStyle w:val="Akapitzlist"/>
        <w:numPr>
          <w:ilvl w:val="0"/>
          <w:numId w:val="15"/>
        </w:numPr>
        <w:spacing w:after="0" w:line="240" w:lineRule="auto"/>
        <w:contextualSpacing w:val="0"/>
        <w:jc w:val="both"/>
      </w:pPr>
      <w:r w:rsidRPr="00730114">
        <w:t>Ustawa z dnia 29 stycznia 2004 r. Prawo zamówień publicznych (</w:t>
      </w:r>
      <w:proofErr w:type="spellStart"/>
      <w:r w:rsidRPr="00730114">
        <w:t>t.j</w:t>
      </w:r>
      <w:proofErr w:type="spellEnd"/>
      <w:r w:rsidRPr="00730114">
        <w:t>. Dz. U. z 2013 r. poz. 907, z późn. zm.);</w:t>
      </w:r>
    </w:p>
    <w:p w:rsidR="004C0C02" w:rsidRPr="00730114" w:rsidRDefault="004C0C02" w:rsidP="004C0C02">
      <w:pPr>
        <w:pStyle w:val="Akapitzlist"/>
        <w:numPr>
          <w:ilvl w:val="0"/>
          <w:numId w:val="15"/>
        </w:numPr>
        <w:spacing w:after="0" w:line="240" w:lineRule="auto"/>
        <w:contextualSpacing w:val="0"/>
        <w:jc w:val="both"/>
      </w:pPr>
      <w:r w:rsidRPr="00730114">
        <w:t>Ustawa z dnia 27 sierpnia 2009 r. o finansach publicznych (</w:t>
      </w:r>
      <w:proofErr w:type="spellStart"/>
      <w:r w:rsidRPr="00730114">
        <w:t>t.j</w:t>
      </w:r>
      <w:proofErr w:type="spellEnd"/>
      <w:r w:rsidRPr="00730114">
        <w:t>. Dz. U. z 2013 r. poz. 885, z późn. zm.);</w:t>
      </w:r>
    </w:p>
    <w:p w:rsidR="004C0C02" w:rsidRPr="00730114" w:rsidRDefault="004C0C02" w:rsidP="00225FCA">
      <w:pPr>
        <w:pStyle w:val="Akapitzlist"/>
        <w:numPr>
          <w:ilvl w:val="0"/>
          <w:numId w:val="15"/>
        </w:numPr>
        <w:spacing w:after="0" w:line="240" w:lineRule="auto"/>
        <w:contextualSpacing w:val="0"/>
        <w:jc w:val="both"/>
      </w:pPr>
      <w:r w:rsidRPr="00730114">
        <w:t>Ustawa z dnia 11 marca 2004 r. o podatku od towarów i usług (</w:t>
      </w:r>
      <w:proofErr w:type="spellStart"/>
      <w:r w:rsidRPr="00730114">
        <w:t>t.j</w:t>
      </w:r>
      <w:proofErr w:type="spellEnd"/>
      <w:r w:rsidRPr="00730114">
        <w:t>. Dz. U. z 2011 r. Nr 177, poz. 1054, z późn. zm.)</w:t>
      </w:r>
    </w:p>
    <w:p w:rsidR="004C0C02" w:rsidRPr="00730114" w:rsidRDefault="004C0C02" w:rsidP="00225FCA">
      <w:pPr>
        <w:pStyle w:val="Akapitzlist"/>
        <w:numPr>
          <w:ilvl w:val="0"/>
          <w:numId w:val="15"/>
        </w:numPr>
        <w:autoSpaceDE w:val="0"/>
        <w:autoSpaceDN w:val="0"/>
        <w:spacing w:after="0" w:line="240" w:lineRule="auto"/>
        <w:contextualSpacing w:val="0"/>
        <w:jc w:val="both"/>
      </w:pPr>
      <w:r w:rsidRPr="00730114">
        <w:t>Ustawa z dnia17 grudnia 2004 r. o odpowiedzialności za naruszenie dyscypliny finansów publicznych (</w:t>
      </w:r>
      <w:proofErr w:type="spellStart"/>
      <w:r w:rsidRPr="00730114">
        <w:t>t.j</w:t>
      </w:r>
      <w:proofErr w:type="spellEnd"/>
      <w:r w:rsidRPr="00730114">
        <w:t>. Dz. U. z 2013 r., poz. 168 z późn. zm.);</w:t>
      </w:r>
    </w:p>
    <w:p w:rsidR="004C0C02" w:rsidRPr="00730114" w:rsidRDefault="004C0C02" w:rsidP="00225FCA">
      <w:pPr>
        <w:pStyle w:val="Akapitzlist"/>
        <w:numPr>
          <w:ilvl w:val="0"/>
          <w:numId w:val="15"/>
        </w:numPr>
        <w:spacing w:after="0" w:line="240" w:lineRule="auto"/>
        <w:contextualSpacing w:val="0"/>
        <w:jc w:val="both"/>
      </w:pPr>
      <w:r w:rsidRPr="00730114">
        <w:t>Ustawa z dnia 29 września 1994 r. o rachunkowości (Dz. U. z 2013 r., poz. 330 z późn. zm.);</w:t>
      </w:r>
    </w:p>
    <w:p w:rsidR="004C0C02" w:rsidRPr="00730114" w:rsidRDefault="004C0C02" w:rsidP="004C0C02">
      <w:pPr>
        <w:pStyle w:val="Akapitzlist"/>
        <w:numPr>
          <w:ilvl w:val="0"/>
          <w:numId w:val="15"/>
        </w:numPr>
        <w:spacing w:after="0" w:line="240" w:lineRule="auto"/>
        <w:contextualSpacing w:val="0"/>
        <w:jc w:val="both"/>
      </w:pPr>
      <w:r w:rsidRPr="00730114">
        <w:t>Ustawa z dnia 30 kwietnia 2004 r. o postępowaniu w sprawach dotyczących pomocy publicznej (</w:t>
      </w:r>
      <w:proofErr w:type="spellStart"/>
      <w:r w:rsidR="00534F86" w:rsidRPr="00730114">
        <w:t>t.</w:t>
      </w:r>
      <w:r w:rsidRPr="00730114">
        <w:t>j</w:t>
      </w:r>
      <w:proofErr w:type="spellEnd"/>
      <w:r w:rsidRPr="00730114">
        <w:t>. Dz. U. z 2007 r. Nr 59, poz. 404, z późn. zm.);</w:t>
      </w:r>
    </w:p>
    <w:p w:rsidR="004C0C02" w:rsidRPr="00730114" w:rsidRDefault="004C0C02" w:rsidP="004C0C02">
      <w:pPr>
        <w:pStyle w:val="Akapitzlist"/>
        <w:numPr>
          <w:ilvl w:val="0"/>
          <w:numId w:val="15"/>
        </w:numPr>
        <w:spacing w:after="0" w:line="240" w:lineRule="auto"/>
        <w:contextualSpacing w:val="0"/>
        <w:jc w:val="both"/>
      </w:pPr>
      <w:r w:rsidRPr="00730114">
        <w:t>Ustawa z dnia 14 czerwca 1960 r. – Kodeks postępowania administracyjnego (</w:t>
      </w:r>
      <w:proofErr w:type="spellStart"/>
      <w:r w:rsidRPr="00730114">
        <w:t>t.j</w:t>
      </w:r>
      <w:proofErr w:type="spellEnd"/>
      <w:r w:rsidRPr="00730114">
        <w:t>. Dz. U. z 2013 r. poz. 267);</w:t>
      </w:r>
    </w:p>
    <w:p w:rsidR="004C0C02" w:rsidRPr="00730114" w:rsidRDefault="004C0C02" w:rsidP="00AF0821">
      <w:pPr>
        <w:pStyle w:val="Akapitzlist"/>
        <w:numPr>
          <w:ilvl w:val="0"/>
          <w:numId w:val="15"/>
        </w:numPr>
        <w:spacing w:after="0" w:line="240" w:lineRule="auto"/>
        <w:contextualSpacing w:val="0"/>
        <w:jc w:val="both"/>
      </w:pPr>
      <w:r w:rsidRPr="00730114">
        <w:t>Ustawa z dnia 26 czerwca 1974 r. Kodeks pracy (</w:t>
      </w:r>
      <w:proofErr w:type="spellStart"/>
      <w:r w:rsidR="00534F86" w:rsidRPr="00730114">
        <w:t>t.</w:t>
      </w:r>
      <w:r w:rsidRPr="00730114">
        <w:t>j</w:t>
      </w:r>
      <w:proofErr w:type="spellEnd"/>
      <w:r w:rsidRPr="00730114">
        <w:t>. Dz. U. 2014, poz. 1502); </w:t>
      </w:r>
    </w:p>
    <w:p w:rsidR="004C0C02" w:rsidRPr="00730114" w:rsidRDefault="004C0C02" w:rsidP="00AF0821">
      <w:pPr>
        <w:pStyle w:val="Akapitzlist"/>
        <w:numPr>
          <w:ilvl w:val="0"/>
          <w:numId w:val="15"/>
        </w:numPr>
        <w:spacing w:after="0" w:line="240" w:lineRule="auto"/>
        <w:contextualSpacing w:val="0"/>
        <w:jc w:val="both"/>
      </w:pPr>
      <w:r w:rsidRPr="00730114">
        <w:t>Ustawa z dnia 20 kwietnia 2004 r. o pracowniczych programach emerytalnych (</w:t>
      </w:r>
      <w:proofErr w:type="spellStart"/>
      <w:r w:rsidRPr="00730114">
        <w:t>t.j</w:t>
      </w:r>
      <w:proofErr w:type="spellEnd"/>
      <w:r w:rsidRPr="00730114">
        <w:t>. Dz. U. z 2014 r., poz.710).</w:t>
      </w:r>
    </w:p>
    <w:p w:rsidR="004C0C02" w:rsidRPr="00730114" w:rsidRDefault="004C0C02" w:rsidP="00AF0821">
      <w:pPr>
        <w:pStyle w:val="Akapitzlist"/>
        <w:numPr>
          <w:ilvl w:val="0"/>
          <w:numId w:val="15"/>
        </w:numPr>
        <w:spacing w:after="0" w:line="240" w:lineRule="auto"/>
        <w:contextualSpacing w:val="0"/>
        <w:jc w:val="both"/>
      </w:pPr>
      <w:r w:rsidRPr="00730114">
        <w:t>Ustawa z dnia 6 września 2001 r. o dostępie do informacji publicznej (Dz. U. z 2014 r. poz. 782);</w:t>
      </w:r>
    </w:p>
    <w:p w:rsidR="004C0C02" w:rsidRPr="00730114" w:rsidRDefault="004C0C02" w:rsidP="00AF0821">
      <w:pPr>
        <w:pStyle w:val="Akapitzlist"/>
        <w:numPr>
          <w:ilvl w:val="0"/>
          <w:numId w:val="15"/>
        </w:numPr>
        <w:autoSpaceDE w:val="0"/>
        <w:autoSpaceDN w:val="0"/>
        <w:spacing w:after="0" w:line="240" w:lineRule="auto"/>
        <w:contextualSpacing w:val="0"/>
        <w:jc w:val="both"/>
      </w:pPr>
      <w:r w:rsidRPr="00730114">
        <w:t>Ustawa z dnia 29 sierpnia 1997 r. o ochronie danych osobowych (</w:t>
      </w:r>
      <w:proofErr w:type="spellStart"/>
      <w:r w:rsidRPr="00730114">
        <w:t>t.j</w:t>
      </w:r>
      <w:proofErr w:type="spellEnd"/>
      <w:r w:rsidRPr="00730114">
        <w:t>. Dz. U. z 2014 r., poz. 1182 z późn. zm.);</w:t>
      </w:r>
    </w:p>
    <w:p w:rsidR="004C0C02" w:rsidRPr="00730114" w:rsidRDefault="004C0C02" w:rsidP="00AF0821">
      <w:pPr>
        <w:pStyle w:val="Akapitzlist"/>
        <w:numPr>
          <w:ilvl w:val="0"/>
          <w:numId w:val="15"/>
        </w:numPr>
        <w:autoSpaceDE w:val="0"/>
        <w:autoSpaceDN w:val="0"/>
        <w:spacing w:after="0" w:line="240" w:lineRule="auto"/>
        <w:contextualSpacing w:val="0"/>
        <w:jc w:val="both"/>
      </w:pPr>
      <w:r w:rsidRPr="00730114">
        <w:t>Ustawa z dnia 13 października 1998 r., o systemie ubezpieczeń społecznych (</w:t>
      </w:r>
      <w:proofErr w:type="spellStart"/>
      <w:r w:rsidRPr="00730114">
        <w:t>t.j</w:t>
      </w:r>
      <w:proofErr w:type="spellEnd"/>
      <w:r w:rsidRPr="00730114">
        <w:t>. Dz. U. z 2015 r., poz. 121 z późn. zm.);</w:t>
      </w:r>
    </w:p>
    <w:p w:rsidR="004C0C02" w:rsidRPr="00730114" w:rsidRDefault="004C0C02" w:rsidP="00AF0821">
      <w:pPr>
        <w:pStyle w:val="Akapitzlist"/>
        <w:numPr>
          <w:ilvl w:val="0"/>
          <w:numId w:val="15"/>
        </w:numPr>
        <w:autoSpaceDE w:val="0"/>
        <w:autoSpaceDN w:val="0"/>
        <w:spacing w:after="0" w:line="240" w:lineRule="auto"/>
        <w:contextualSpacing w:val="0"/>
        <w:jc w:val="both"/>
      </w:pPr>
      <w:r w:rsidRPr="00730114">
        <w:t>Ustawa z dnia 26 lipca 1991 r. o podatku dochodowym od osób fizycznych (</w:t>
      </w:r>
      <w:proofErr w:type="spellStart"/>
      <w:r w:rsidRPr="00730114">
        <w:t>t.j</w:t>
      </w:r>
      <w:proofErr w:type="spellEnd"/>
      <w:r w:rsidRPr="00730114">
        <w:t>. Dz. U. z 2012, poz. 361 z późn. zm.);</w:t>
      </w:r>
    </w:p>
    <w:p w:rsidR="004C0C02" w:rsidRPr="00730114" w:rsidRDefault="004C0C02" w:rsidP="00AF0821">
      <w:pPr>
        <w:pStyle w:val="Default"/>
        <w:numPr>
          <w:ilvl w:val="0"/>
          <w:numId w:val="15"/>
        </w:numPr>
        <w:adjustRightInd/>
        <w:jc w:val="both"/>
        <w:rPr>
          <w:rFonts w:ascii="Calibri" w:hAnsi="Calibri"/>
          <w:color w:val="auto"/>
          <w:sz w:val="22"/>
          <w:szCs w:val="22"/>
        </w:rPr>
      </w:pPr>
      <w:r w:rsidRPr="00730114">
        <w:rPr>
          <w:rFonts w:ascii="Calibri" w:hAnsi="Calibri"/>
          <w:color w:val="auto"/>
          <w:sz w:val="22"/>
          <w:szCs w:val="22"/>
        </w:rPr>
        <w:t>Ustawa z dnia 24 kwietnia 2003 r. o działalności pożytku publicznego i o wolontariacie (t. j. Dz. U. z 2014 r. poz. 1118 z późn. zm.);</w:t>
      </w:r>
    </w:p>
    <w:p w:rsidR="004C0C02" w:rsidRDefault="004C0C02" w:rsidP="00AF0821">
      <w:pPr>
        <w:pStyle w:val="Default"/>
        <w:numPr>
          <w:ilvl w:val="0"/>
          <w:numId w:val="15"/>
        </w:numPr>
        <w:adjustRightInd/>
        <w:jc w:val="both"/>
        <w:rPr>
          <w:rFonts w:ascii="Calibri" w:hAnsi="Calibri"/>
          <w:color w:val="auto"/>
          <w:sz w:val="22"/>
          <w:szCs w:val="22"/>
        </w:rPr>
      </w:pPr>
      <w:r w:rsidRPr="00730114">
        <w:rPr>
          <w:rFonts w:ascii="Calibri" w:hAnsi="Calibri"/>
          <w:color w:val="auto"/>
          <w:sz w:val="22"/>
          <w:szCs w:val="22"/>
        </w:rPr>
        <w:t>Ustawa z dnia 13 czerwca 2003 r. o zatrudnieniu socjalnym (</w:t>
      </w:r>
      <w:proofErr w:type="spellStart"/>
      <w:r w:rsidRPr="00730114">
        <w:rPr>
          <w:rFonts w:ascii="Calibri" w:hAnsi="Calibri"/>
          <w:color w:val="auto"/>
          <w:sz w:val="22"/>
          <w:szCs w:val="22"/>
        </w:rPr>
        <w:t>t.j</w:t>
      </w:r>
      <w:proofErr w:type="spellEnd"/>
      <w:r w:rsidRPr="00730114">
        <w:rPr>
          <w:rFonts w:ascii="Calibri" w:hAnsi="Calibri"/>
          <w:color w:val="auto"/>
          <w:sz w:val="22"/>
          <w:szCs w:val="22"/>
        </w:rPr>
        <w:t>. Dz. U. z 2011 r. Nr 43, poz. 225, z późn. zm.);</w:t>
      </w:r>
    </w:p>
    <w:p w:rsidR="008C704E" w:rsidRPr="008C704E" w:rsidRDefault="008C704E" w:rsidP="008C704E">
      <w:pPr>
        <w:pStyle w:val="Default"/>
        <w:numPr>
          <w:ilvl w:val="0"/>
          <w:numId w:val="15"/>
        </w:numPr>
        <w:adjustRightInd/>
        <w:jc w:val="both"/>
        <w:rPr>
          <w:rFonts w:asciiTheme="minorHAnsi" w:hAnsiTheme="minorHAnsi"/>
          <w:color w:val="000000" w:themeColor="text1"/>
          <w:sz w:val="22"/>
          <w:szCs w:val="22"/>
        </w:rPr>
      </w:pPr>
      <w:r w:rsidRPr="008C704E">
        <w:rPr>
          <w:rFonts w:asciiTheme="minorHAnsi" w:hAnsiTheme="minorHAnsi"/>
          <w:color w:val="000000" w:themeColor="text1"/>
          <w:sz w:val="22"/>
          <w:szCs w:val="22"/>
        </w:rPr>
        <w:t xml:space="preserve">Ustawa </w:t>
      </w:r>
      <w:r w:rsidRPr="008C704E">
        <w:rPr>
          <w:rFonts w:asciiTheme="minorHAnsi" w:hAnsiTheme="minorHAnsi" w:cs="Arial"/>
          <w:sz w:val="22"/>
          <w:szCs w:val="22"/>
          <w:lang w:eastAsia="ar-SA"/>
        </w:rPr>
        <w:t xml:space="preserve"> z dnia 27 kwietnia 2006 roku o spółdzielniach socjalnych </w:t>
      </w:r>
      <w:r w:rsidRPr="008C704E">
        <w:rPr>
          <w:rFonts w:asciiTheme="minorHAnsi" w:hAnsiTheme="minorHAnsi"/>
          <w:sz w:val="22"/>
          <w:szCs w:val="22"/>
          <w:lang w:eastAsia="ar-SA"/>
        </w:rPr>
        <w:t xml:space="preserve">(Dz. U. z 2006 nr 94 poz. 651, z </w:t>
      </w:r>
      <w:proofErr w:type="spellStart"/>
      <w:r w:rsidRPr="008C704E">
        <w:rPr>
          <w:rFonts w:asciiTheme="minorHAnsi" w:hAnsiTheme="minorHAnsi"/>
          <w:sz w:val="22"/>
          <w:szCs w:val="22"/>
          <w:lang w:eastAsia="ar-SA"/>
        </w:rPr>
        <w:t>późn</w:t>
      </w:r>
      <w:proofErr w:type="spellEnd"/>
      <w:r w:rsidRPr="008C704E">
        <w:rPr>
          <w:rFonts w:asciiTheme="minorHAnsi" w:hAnsiTheme="minorHAnsi"/>
          <w:sz w:val="22"/>
          <w:szCs w:val="22"/>
          <w:lang w:eastAsia="ar-SA"/>
        </w:rPr>
        <w:t>. zm.);</w:t>
      </w:r>
    </w:p>
    <w:p w:rsidR="004C0C02" w:rsidRPr="00730114" w:rsidRDefault="004C0C02" w:rsidP="00AF0821">
      <w:pPr>
        <w:pStyle w:val="Default"/>
        <w:numPr>
          <w:ilvl w:val="0"/>
          <w:numId w:val="15"/>
        </w:numPr>
        <w:adjustRightInd/>
        <w:jc w:val="both"/>
        <w:rPr>
          <w:rFonts w:ascii="Calibri" w:hAnsi="Calibri"/>
          <w:color w:val="auto"/>
          <w:sz w:val="22"/>
          <w:szCs w:val="22"/>
        </w:rPr>
      </w:pPr>
      <w:r w:rsidRPr="00730114">
        <w:rPr>
          <w:rFonts w:ascii="Calibri" w:hAnsi="Calibri"/>
          <w:color w:val="auto"/>
          <w:sz w:val="22"/>
          <w:szCs w:val="22"/>
        </w:rPr>
        <w:t>Ustawa z dnia 21 sierpnia 1997 r. o gospodarce nieruchomościami (</w:t>
      </w:r>
      <w:proofErr w:type="spellStart"/>
      <w:r w:rsidRPr="00730114">
        <w:rPr>
          <w:rFonts w:ascii="Calibri" w:hAnsi="Calibri"/>
          <w:color w:val="auto"/>
          <w:sz w:val="22"/>
          <w:szCs w:val="22"/>
        </w:rPr>
        <w:t>t.j</w:t>
      </w:r>
      <w:proofErr w:type="spellEnd"/>
      <w:r w:rsidRPr="00730114">
        <w:rPr>
          <w:rFonts w:ascii="Calibri" w:hAnsi="Calibri"/>
          <w:color w:val="auto"/>
          <w:sz w:val="22"/>
          <w:szCs w:val="22"/>
        </w:rPr>
        <w:t>. Dz. U. z 2015 r. poz. 782, z późn. zm.);</w:t>
      </w:r>
    </w:p>
    <w:p w:rsidR="004C0C02" w:rsidRPr="00730114" w:rsidRDefault="004C0C02" w:rsidP="00AF0821">
      <w:pPr>
        <w:pStyle w:val="Default"/>
        <w:numPr>
          <w:ilvl w:val="0"/>
          <w:numId w:val="15"/>
        </w:numPr>
        <w:adjustRightInd/>
        <w:jc w:val="both"/>
        <w:rPr>
          <w:rFonts w:ascii="Calibri" w:hAnsi="Calibri"/>
          <w:color w:val="auto"/>
          <w:sz w:val="22"/>
          <w:szCs w:val="22"/>
        </w:rPr>
      </w:pPr>
      <w:r w:rsidRPr="00730114">
        <w:rPr>
          <w:rFonts w:ascii="Calibri" w:hAnsi="Calibri"/>
          <w:color w:val="auto"/>
          <w:sz w:val="22"/>
          <w:szCs w:val="22"/>
        </w:rPr>
        <w:t>Ustawa z dnia 3 grudnia 2010 r. o wdrożeniu niektórych przepisów Unii Europejskiej w zakresie równego traktowania (Dz. U. z 2010 r., Nr 254, poz. 1700, z późn. zm.);</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realizacji przedsięwzięć w obszarze włączenia społecznego i zwalczania ubóstwa z wykorzystaniem środków Europejskiego Funduszu Społecznego i Europejskiego Funduszu Rozwoju Regionalnego na lata 2014-2020 z dnia 28 maja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warunków gromadzenia i przekazywania danych w postaci elektronicznej na lata 2014-2020 z dnia 3 marca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trybów wyboru projektów na lata 2014-2020 z dnia 31 marca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realizacji zasady partnerstwa na lata 2014-2020 z dnia 31. marca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 xml:space="preserve">Wytyczne w zakresie kwalifikowalności wydatków w ramach Europejskiego Funduszu Rozwoju Regionalnego, Europejskiego Funduszu Społecznego oraz Funduszu Spójności na lata 2014-2020 z dnia 10 kwietnia 2015 r.; </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monitorowania postępu rzeczowego realizacji programów operacyjnych na lata 2014 -2020 z dnia 22 kwietnia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informacji i promocji programów operacyjnych polityki spójności na lata 2014-2020 z dnia 30 kwietnia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sprawozdawczości na lata 2014-2020 z dnia 8 maja 2015 r.;</w:t>
      </w:r>
    </w:p>
    <w:p w:rsidR="004C0C02" w:rsidRPr="00730114" w:rsidRDefault="004C0C02" w:rsidP="00AF0821">
      <w:pPr>
        <w:pStyle w:val="Default"/>
        <w:numPr>
          <w:ilvl w:val="0"/>
          <w:numId w:val="15"/>
        </w:numPr>
        <w:adjustRightInd/>
        <w:spacing w:before="100" w:beforeAutospacing="1" w:after="100" w:afterAutospacing="1"/>
        <w:jc w:val="both"/>
        <w:rPr>
          <w:rFonts w:ascii="Calibri" w:hAnsi="Calibri"/>
          <w:color w:val="auto"/>
          <w:sz w:val="22"/>
          <w:szCs w:val="22"/>
        </w:rPr>
      </w:pPr>
      <w:r w:rsidRPr="00730114">
        <w:rPr>
          <w:rFonts w:ascii="Calibri" w:hAnsi="Calibri"/>
          <w:color w:val="auto"/>
          <w:sz w:val="22"/>
          <w:szCs w:val="22"/>
        </w:rPr>
        <w:t>Wytyczne w zakresie realizacji zasady równości szans i niedyskryminacji, w tym dostępności dla osób z niepełnosprawnościami oraz zasady równości szans kobiet i mężczyzn w ramach funduszy unijnych na lata 2014-2020 z dnia 8 maja 2015 r.</w:t>
      </w:r>
    </w:p>
    <w:p w:rsidR="004C0C02" w:rsidRPr="00730114" w:rsidRDefault="004C0C02" w:rsidP="00AF0821">
      <w:pPr>
        <w:pStyle w:val="Akapitzlist"/>
        <w:numPr>
          <w:ilvl w:val="0"/>
          <w:numId w:val="15"/>
        </w:numPr>
        <w:spacing w:before="100" w:beforeAutospacing="1" w:after="100" w:afterAutospacing="1" w:line="320" w:lineRule="atLeast"/>
        <w:contextualSpacing w:val="0"/>
        <w:jc w:val="both"/>
        <w:rPr>
          <w:rFonts w:ascii="Calibri" w:hAnsi="Calibri"/>
        </w:rPr>
      </w:pPr>
      <w:r w:rsidRPr="00730114">
        <w:t>Szczegółowy opis osi priorytetowych Regionalnego Programu Operacyjnego Województwa Dolnośląskiego 2014-</w:t>
      </w:r>
      <w:r w:rsidR="009A37F2">
        <w:t>2020 z dnia 14 września 2015 r.</w:t>
      </w:r>
    </w:p>
    <w:p w:rsidR="00730114" w:rsidRPr="00730114" w:rsidRDefault="00730114" w:rsidP="00730114">
      <w:pPr>
        <w:spacing w:before="100" w:beforeAutospacing="1" w:after="100" w:afterAutospacing="1" w:line="320" w:lineRule="atLeast"/>
        <w:jc w:val="both"/>
        <w:rPr>
          <w:rFonts w:ascii="Calibri" w:hAnsi="Calibri"/>
        </w:rPr>
      </w:pPr>
    </w:p>
    <w:p w:rsidR="000C73C8" w:rsidRPr="00394A0C" w:rsidRDefault="000C73C8" w:rsidP="000C73C8">
      <w:pPr>
        <w:pStyle w:val="Default"/>
        <w:rPr>
          <w:rFonts w:asciiTheme="minorHAnsi" w:hAnsiTheme="minorHAnsi"/>
        </w:rPr>
      </w:pPr>
    </w:p>
    <w:p w:rsidR="000C73C8" w:rsidRPr="00394A0C" w:rsidRDefault="000C73C8" w:rsidP="000C73C8">
      <w:pPr>
        <w:pStyle w:val="Default"/>
        <w:rPr>
          <w:rFonts w:asciiTheme="minorHAnsi" w:hAnsiTheme="minorHAnsi"/>
        </w:rPr>
      </w:pPr>
    </w:p>
    <w:p w:rsidR="000C73C8" w:rsidRPr="004B6A5C" w:rsidRDefault="000C73C8" w:rsidP="004B6A5C">
      <w:pPr>
        <w:spacing w:line="240" w:lineRule="auto"/>
        <w:jc w:val="both"/>
        <w:rPr>
          <w:sz w:val="20"/>
          <w:szCs w:val="20"/>
        </w:rPr>
      </w:pPr>
    </w:p>
    <w:sectPr w:rsidR="000C73C8" w:rsidRPr="004B6A5C" w:rsidSect="00BF74B4">
      <w:footerReference w:type="default" r:id="rId14"/>
      <w:headerReference w:type="first" r:id="rId15"/>
      <w:pgSz w:w="11906" w:h="16838"/>
      <w:pgMar w:top="568" w:right="1417" w:bottom="851"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0690" w:rsidRDefault="00F80690" w:rsidP="00F55570">
      <w:pPr>
        <w:spacing w:after="0" w:line="240" w:lineRule="auto"/>
      </w:pPr>
      <w:r>
        <w:separator/>
      </w:r>
    </w:p>
  </w:endnote>
  <w:endnote w:type="continuationSeparator" w:id="0">
    <w:p w:rsidR="00F80690" w:rsidRDefault="00F80690" w:rsidP="00F5557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Segoe UI,Bold">
    <w:altName w:val="Arial"/>
    <w:panose1 w:val="00000000000000000000"/>
    <w:charset w:val="00"/>
    <w:family w:val="swiss"/>
    <w:notTrueType/>
    <w:pitch w:val="default"/>
    <w:sig w:usb0="00000007" w:usb1="00000000" w:usb2="00000000" w:usb3="00000000" w:csb0="00000003"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7571582"/>
      <w:docPartObj>
        <w:docPartGallery w:val="Page Numbers (Bottom of Page)"/>
        <w:docPartUnique/>
      </w:docPartObj>
    </w:sdtPr>
    <w:sdtContent>
      <w:p w:rsidR="00F80690" w:rsidRDefault="008E5673">
        <w:pPr>
          <w:pStyle w:val="Stopka"/>
          <w:jc w:val="right"/>
        </w:pPr>
        <w:fldSimple w:instr="PAGE   \* MERGEFORMAT">
          <w:r w:rsidR="00700928">
            <w:rPr>
              <w:noProof/>
            </w:rPr>
            <w:t>9</w:t>
          </w:r>
        </w:fldSimple>
      </w:p>
    </w:sdtContent>
  </w:sdt>
  <w:p w:rsidR="00F80690" w:rsidRDefault="00F8069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0690" w:rsidRDefault="00F80690" w:rsidP="00F55570">
      <w:pPr>
        <w:spacing w:after="0" w:line="240" w:lineRule="auto"/>
      </w:pPr>
      <w:r>
        <w:separator/>
      </w:r>
    </w:p>
  </w:footnote>
  <w:footnote w:type="continuationSeparator" w:id="0">
    <w:p w:rsidR="00F80690" w:rsidRDefault="00F80690" w:rsidP="00F5557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0690" w:rsidRPr="005B69CA" w:rsidRDefault="00F80690" w:rsidP="00E9143A">
    <w:pPr>
      <w:rPr>
        <w:sz w:val="20"/>
        <w:szCs w:val="20"/>
      </w:rPr>
    </w:pPr>
    <w:r w:rsidRPr="005B69CA">
      <w:rPr>
        <w:sz w:val="20"/>
        <w:szCs w:val="20"/>
      </w:rPr>
      <w:t xml:space="preserve">Załącznik nr </w:t>
    </w:r>
    <w:r w:rsidR="007D7EDD">
      <w:rPr>
        <w:sz w:val="20"/>
        <w:szCs w:val="20"/>
      </w:rPr>
      <w:t xml:space="preserve">10 </w:t>
    </w:r>
    <w:r w:rsidRPr="005B69CA">
      <w:rPr>
        <w:sz w:val="20"/>
        <w:szCs w:val="20"/>
      </w:rPr>
      <w:t>Minimalny standard usług i katalog stawek</w:t>
    </w:r>
  </w:p>
  <w:p w:rsidR="00F80690" w:rsidRPr="002411D2" w:rsidRDefault="00F80690" w:rsidP="007F345B">
    <w:pPr>
      <w:jc w:val="both"/>
      <w:rPr>
        <w:rFonts w:ascii="Calibri" w:eastAsia="Times New Roman" w:hAnsi="Calibri" w:cs="Times New Roman"/>
        <w:sz w:val="18"/>
        <w:szCs w:val="18"/>
      </w:rPr>
    </w:pPr>
  </w:p>
  <w:p w:rsidR="00F80690" w:rsidRDefault="00F80690">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C00DAD"/>
    <w:multiLevelType w:val="hybridMultilevel"/>
    <w:tmpl w:val="B688FF08"/>
    <w:lvl w:ilvl="0" w:tplc="30A216CE">
      <w:start w:val="1"/>
      <w:numFmt w:val="decimal"/>
      <w:lvlText w:val="%1."/>
      <w:lvlJc w:val="left"/>
      <w:pPr>
        <w:ind w:left="1056" w:hanging="360"/>
      </w:pPr>
    </w:lvl>
    <w:lvl w:ilvl="1" w:tplc="04150019">
      <w:start w:val="1"/>
      <w:numFmt w:val="lowerLetter"/>
      <w:lvlText w:val="%2."/>
      <w:lvlJc w:val="left"/>
      <w:pPr>
        <w:ind w:left="1776" w:hanging="360"/>
      </w:pPr>
    </w:lvl>
    <w:lvl w:ilvl="2" w:tplc="3ADC5F76">
      <w:start w:val="1"/>
      <w:numFmt w:val="bullet"/>
      <w:lvlText w:val="∙"/>
      <w:lvlJc w:val="left"/>
      <w:pPr>
        <w:ind w:left="2496" w:hanging="180"/>
      </w:pPr>
      <w:rPr>
        <w:rFonts w:ascii="Calibri" w:hAnsi="Calibri" w:hint="default"/>
      </w:rPr>
    </w:lvl>
    <w:lvl w:ilvl="3" w:tplc="0415000F" w:tentative="1">
      <w:start w:val="1"/>
      <w:numFmt w:val="decimal"/>
      <w:lvlText w:val="%4."/>
      <w:lvlJc w:val="left"/>
      <w:pPr>
        <w:ind w:left="3216" w:hanging="360"/>
      </w:pPr>
    </w:lvl>
    <w:lvl w:ilvl="4" w:tplc="04150019" w:tentative="1">
      <w:start w:val="1"/>
      <w:numFmt w:val="lowerLetter"/>
      <w:lvlText w:val="%5."/>
      <w:lvlJc w:val="left"/>
      <w:pPr>
        <w:ind w:left="3936" w:hanging="360"/>
      </w:pPr>
    </w:lvl>
    <w:lvl w:ilvl="5" w:tplc="0415001B" w:tentative="1">
      <w:start w:val="1"/>
      <w:numFmt w:val="lowerRoman"/>
      <w:lvlText w:val="%6."/>
      <w:lvlJc w:val="right"/>
      <w:pPr>
        <w:ind w:left="4656" w:hanging="180"/>
      </w:pPr>
    </w:lvl>
    <w:lvl w:ilvl="6" w:tplc="0415000F" w:tentative="1">
      <w:start w:val="1"/>
      <w:numFmt w:val="decimal"/>
      <w:lvlText w:val="%7."/>
      <w:lvlJc w:val="left"/>
      <w:pPr>
        <w:ind w:left="5376" w:hanging="360"/>
      </w:pPr>
    </w:lvl>
    <w:lvl w:ilvl="7" w:tplc="04150019" w:tentative="1">
      <w:start w:val="1"/>
      <w:numFmt w:val="lowerLetter"/>
      <w:lvlText w:val="%8."/>
      <w:lvlJc w:val="left"/>
      <w:pPr>
        <w:ind w:left="6096" w:hanging="360"/>
      </w:pPr>
    </w:lvl>
    <w:lvl w:ilvl="8" w:tplc="0415001B" w:tentative="1">
      <w:start w:val="1"/>
      <w:numFmt w:val="lowerRoman"/>
      <w:lvlText w:val="%9."/>
      <w:lvlJc w:val="right"/>
      <w:pPr>
        <w:ind w:left="6816" w:hanging="180"/>
      </w:pPr>
    </w:lvl>
  </w:abstractNum>
  <w:abstractNum w:abstractNumId="1">
    <w:nsid w:val="1C9D6A31"/>
    <w:multiLevelType w:val="hybridMultilevel"/>
    <w:tmpl w:val="FB687D56"/>
    <w:lvl w:ilvl="0" w:tplc="D2FCCF80">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B8B26B4"/>
    <w:multiLevelType w:val="hybridMultilevel"/>
    <w:tmpl w:val="42AAB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255F17"/>
    <w:multiLevelType w:val="hybridMultilevel"/>
    <w:tmpl w:val="6256DE7E"/>
    <w:lvl w:ilvl="0" w:tplc="27ECDE1C">
      <w:start w:val="8"/>
      <w:numFmt w:val="bullet"/>
      <w:lvlText w:val=""/>
      <w:lvlJc w:val="left"/>
      <w:pPr>
        <w:ind w:left="720" w:hanging="360"/>
      </w:pPr>
      <w:rPr>
        <w:rFonts w:ascii="Symbol" w:eastAsiaTheme="minorEastAsia"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6573360"/>
    <w:multiLevelType w:val="hybridMultilevel"/>
    <w:tmpl w:val="E2185EE4"/>
    <w:lvl w:ilvl="0" w:tplc="C778D132">
      <w:numFmt w:val="bullet"/>
      <w:lvlText w:val=""/>
      <w:lvlJc w:val="left"/>
      <w:pPr>
        <w:ind w:left="390" w:hanging="360"/>
      </w:pPr>
      <w:rPr>
        <w:rFonts w:ascii="Symbol" w:eastAsiaTheme="minorEastAsia" w:hAnsi="Symbol" w:cstheme="minorBidi" w:hint="default"/>
      </w:rPr>
    </w:lvl>
    <w:lvl w:ilvl="1" w:tplc="04150003" w:tentative="1">
      <w:start w:val="1"/>
      <w:numFmt w:val="bullet"/>
      <w:lvlText w:val="o"/>
      <w:lvlJc w:val="left"/>
      <w:pPr>
        <w:ind w:left="1110" w:hanging="360"/>
      </w:pPr>
      <w:rPr>
        <w:rFonts w:ascii="Courier New" w:hAnsi="Courier New" w:cs="Courier New" w:hint="default"/>
      </w:rPr>
    </w:lvl>
    <w:lvl w:ilvl="2" w:tplc="04150005" w:tentative="1">
      <w:start w:val="1"/>
      <w:numFmt w:val="bullet"/>
      <w:lvlText w:val=""/>
      <w:lvlJc w:val="left"/>
      <w:pPr>
        <w:ind w:left="1830" w:hanging="360"/>
      </w:pPr>
      <w:rPr>
        <w:rFonts w:ascii="Wingdings" w:hAnsi="Wingdings" w:hint="default"/>
      </w:rPr>
    </w:lvl>
    <w:lvl w:ilvl="3" w:tplc="04150001" w:tentative="1">
      <w:start w:val="1"/>
      <w:numFmt w:val="bullet"/>
      <w:lvlText w:val=""/>
      <w:lvlJc w:val="left"/>
      <w:pPr>
        <w:ind w:left="2550" w:hanging="360"/>
      </w:pPr>
      <w:rPr>
        <w:rFonts w:ascii="Symbol" w:hAnsi="Symbol" w:hint="default"/>
      </w:rPr>
    </w:lvl>
    <w:lvl w:ilvl="4" w:tplc="04150003" w:tentative="1">
      <w:start w:val="1"/>
      <w:numFmt w:val="bullet"/>
      <w:lvlText w:val="o"/>
      <w:lvlJc w:val="left"/>
      <w:pPr>
        <w:ind w:left="3270" w:hanging="360"/>
      </w:pPr>
      <w:rPr>
        <w:rFonts w:ascii="Courier New" w:hAnsi="Courier New" w:cs="Courier New" w:hint="default"/>
      </w:rPr>
    </w:lvl>
    <w:lvl w:ilvl="5" w:tplc="04150005" w:tentative="1">
      <w:start w:val="1"/>
      <w:numFmt w:val="bullet"/>
      <w:lvlText w:val=""/>
      <w:lvlJc w:val="left"/>
      <w:pPr>
        <w:ind w:left="3990" w:hanging="360"/>
      </w:pPr>
      <w:rPr>
        <w:rFonts w:ascii="Wingdings" w:hAnsi="Wingdings" w:hint="default"/>
      </w:rPr>
    </w:lvl>
    <w:lvl w:ilvl="6" w:tplc="04150001" w:tentative="1">
      <w:start w:val="1"/>
      <w:numFmt w:val="bullet"/>
      <w:lvlText w:val=""/>
      <w:lvlJc w:val="left"/>
      <w:pPr>
        <w:ind w:left="4710" w:hanging="360"/>
      </w:pPr>
      <w:rPr>
        <w:rFonts w:ascii="Symbol" w:hAnsi="Symbol" w:hint="default"/>
      </w:rPr>
    </w:lvl>
    <w:lvl w:ilvl="7" w:tplc="04150003" w:tentative="1">
      <w:start w:val="1"/>
      <w:numFmt w:val="bullet"/>
      <w:lvlText w:val="o"/>
      <w:lvlJc w:val="left"/>
      <w:pPr>
        <w:ind w:left="5430" w:hanging="360"/>
      </w:pPr>
      <w:rPr>
        <w:rFonts w:ascii="Courier New" w:hAnsi="Courier New" w:cs="Courier New" w:hint="default"/>
      </w:rPr>
    </w:lvl>
    <w:lvl w:ilvl="8" w:tplc="04150005" w:tentative="1">
      <w:start w:val="1"/>
      <w:numFmt w:val="bullet"/>
      <w:lvlText w:val=""/>
      <w:lvlJc w:val="left"/>
      <w:pPr>
        <w:ind w:left="6150" w:hanging="360"/>
      </w:pPr>
      <w:rPr>
        <w:rFonts w:ascii="Wingdings" w:hAnsi="Wingdings" w:hint="default"/>
      </w:rPr>
    </w:lvl>
  </w:abstractNum>
  <w:abstractNum w:abstractNumId="5">
    <w:nsid w:val="4E696994"/>
    <w:multiLevelType w:val="hybridMultilevel"/>
    <w:tmpl w:val="CB14560A"/>
    <w:lvl w:ilvl="0" w:tplc="3ADC5F76">
      <w:start w:val="1"/>
      <w:numFmt w:val="bullet"/>
      <w:lvlText w:val="∙"/>
      <w:lvlJc w:val="left"/>
      <w:pPr>
        <w:ind w:left="1797" w:hanging="360"/>
      </w:pPr>
      <w:rPr>
        <w:rFonts w:ascii="Calibri" w:hAnsi="Calibri"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6">
    <w:nsid w:val="522D6084"/>
    <w:multiLevelType w:val="hybridMultilevel"/>
    <w:tmpl w:val="12A238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578B395A"/>
    <w:multiLevelType w:val="hybridMultilevel"/>
    <w:tmpl w:val="73668A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B742EB2"/>
    <w:multiLevelType w:val="hybridMultilevel"/>
    <w:tmpl w:val="6A129140"/>
    <w:lvl w:ilvl="0" w:tplc="58D8EB46">
      <w:start w:val="2"/>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647E118F"/>
    <w:multiLevelType w:val="hybridMultilevel"/>
    <w:tmpl w:val="3E5829C0"/>
    <w:lvl w:ilvl="0" w:tplc="2CFABF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6E11287"/>
    <w:multiLevelType w:val="hybridMultilevel"/>
    <w:tmpl w:val="162ACA4E"/>
    <w:lvl w:ilvl="0" w:tplc="F25EBEC4">
      <w:start w:val="1"/>
      <w:numFmt w:val="decimal"/>
      <w:lvlText w:val="%1."/>
      <w:lvlJc w:val="left"/>
      <w:pPr>
        <w:ind w:left="720" w:hanging="360"/>
      </w:pPr>
      <w:rPr>
        <w:rFonts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ED111DA"/>
    <w:multiLevelType w:val="hybridMultilevel"/>
    <w:tmpl w:val="D2BC2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0AE1237"/>
    <w:multiLevelType w:val="hybridMultilevel"/>
    <w:tmpl w:val="720A6F60"/>
    <w:lvl w:ilvl="0" w:tplc="AF480D9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77B47843"/>
    <w:multiLevelType w:val="hybridMultilevel"/>
    <w:tmpl w:val="76AACB2C"/>
    <w:lvl w:ilvl="0" w:tplc="04150001">
      <w:start w:val="1"/>
      <w:numFmt w:val="bullet"/>
      <w:lvlText w:val=""/>
      <w:lvlJc w:val="left"/>
      <w:pPr>
        <w:ind w:left="720" w:hanging="360"/>
      </w:pPr>
      <w:rPr>
        <w:rFonts w:ascii="Symbol" w:hAnsi="Symbol" w:hint="default"/>
      </w:rPr>
    </w:lvl>
    <w:lvl w:ilvl="1" w:tplc="3ADC5F76">
      <w:start w:val="1"/>
      <w:numFmt w:val="bullet"/>
      <w:lvlText w:val="∙"/>
      <w:lvlJc w:val="left"/>
      <w:pPr>
        <w:ind w:left="1440" w:hanging="360"/>
      </w:pPr>
      <w:rPr>
        <w:rFonts w:ascii="Calibri" w:hAnsi="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11"/>
  </w:num>
  <w:num w:numId="4">
    <w:abstractNumId w:val="12"/>
  </w:num>
  <w:num w:numId="5">
    <w:abstractNumId w:val="1"/>
  </w:num>
  <w:num w:numId="6">
    <w:abstractNumId w:val="8"/>
  </w:num>
  <w:num w:numId="7">
    <w:abstractNumId w:val="10"/>
  </w:num>
  <w:num w:numId="8">
    <w:abstractNumId w:val="9"/>
  </w:num>
  <w:num w:numId="9">
    <w:abstractNumId w:val="0"/>
  </w:num>
  <w:num w:numId="10">
    <w:abstractNumId w:val="5"/>
  </w:num>
  <w:num w:numId="11">
    <w:abstractNumId w:val="13"/>
  </w:num>
  <w:num w:numId="12">
    <w:abstractNumId w:val="3"/>
  </w:num>
  <w:num w:numId="13">
    <w:abstractNumId w:val="4"/>
  </w:num>
  <w:num w:numId="14">
    <w:abstractNumId w:val="6"/>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proofState w:spelling="clean"/>
  <w:defaultTabStop w:val="708"/>
  <w:hyphenationZone w:val="425"/>
  <w:characterSpacingControl w:val="doNotCompress"/>
  <w:footnotePr>
    <w:footnote w:id="-1"/>
    <w:footnote w:id="0"/>
  </w:footnotePr>
  <w:endnotePr>
    <w:endnote w:id="-1"/>
    <w:endnote w:id="0"/>
  </w:endnotePr>
  <w:compat>
    <w:useFELayout/>
  </w:compat>
  <w:rsids>
    <w:rsidRoot w:val="004F5354"/>
    <w:rsid w:val="000072FE"/>
    <w:rsid w:val="00012095"/>
    <w:rsid w:val="00015BBA"/>
    <w:rsid w:val="00015C14"/>
    <w:rsid w:val="0002561F"/>
    <w:rsid w:val="000323A8"/>
    <w:rsid w:val="00037541"/>
    <w:rsid w:val="00041208"/>
    <w:rsid w:val="00043F7B"/>
    <w:rsid w:val="00045BBA"/>
    <w:rsid w:val="00050514"/>
    <w:rsid w:val="00053196"/>
    <w:rsid w:val="00053B33"/>
    <w:rsid w:val="000568E0"/>
    <w:rsid w:val="000667E8"/>
    <w:rsid w:val="0007039B"/>
    <w:rsid w:val="0007306B"/>
    <w:rsid w:val="00074B4C"/>
    <w:rsid w:val="00075607"/>
    <w:rsid w:val="000760CE"/>
    <w:rsid w:val="00076DE3"/>
    <w:rsid w:val="000779EC"/>
    <w:rsid w:val="00081733"/>
    <w:rsid w:val="00081916"/>
    <w:rsid w:val="00083A64"/>
    <w:rsid w:val="0008719B"/>
    <w:rsid w:val="000912FD"/>
    <w:rsid w:val="00092CC4"/>
    <w:rsid w:val="0009385B"/>
    <w:rsid w:val="00093A9E"/>
    <w:rsid w:val="00093BC8"/>
    <w:rsid w:val="000A15D6"/>
    <w:rsid w:val="000A3994"/>
    <w:rsid w:val="000A3AB1"/>
    <w:rsid w:val="000A5C7A"/>
    <w:rsid w:val="000A78D4"/>
    <w:rsid w:val="000A7B59"/>
    <w:rsid w:val="000A7C30"/>
    <w:rsid w:val="000B134A"/>
    <w:rsid w:val="000C0F33"/>
    <w:rsid w:val="000C5D4B"/>
    <w:rsid w:val="000C73C8"/>
    <w:rsid w:val="000D05D9"/>
    <w:rsid w:val="000D1685"/>
    <w:rsid w:val="000D2A58"/>
    <w:rsid w:val="000D4787"/>
    <w:rsid w:val="000E03D6"/>
    <w:rsid w:val="000E0ADB"/>
    <w:rsid w:val="000E0C4C"/>
    <w:rsid w:val="000E1AFE"/>
    <w:rsid w:val="000E3B10"/>
    <w:rsid w:val="000E4A4F"/>
    <w:rsid w:val="000F03B2"/>
    <w:rsid w:val="000F3355"/>
    <w:rsid w:val="001018E1"/>
    <w:rsid w:val="00101CA4"/>
    <w:rsid w:val="001020FB"/>
    <w:rsid w:val="00105F1C"/>
    <w:rsid w:val="001128F1"/>
    <w:rsid w:val="001260AC"/>
    <w:rsid w:val="00126DD3"/>
    <w:rsid w:val="00135FD2"/>
    <w:rsid w:val="00144352"/>
    <w:rsid w:val="001444D0"/>
    <w:rsid w:val="00150263"/>
    <w:rsid w:val="00151395"/>
    <w:rsid w:val="00151EED"/>
    <w:rsid w:val="00154B8B"/>
    <w:rsid w:val="00160218"/>
    <w:rsid w:val="00160A5C"/>
    <w:rsid w:val="0016117A"/>
    <w:rsid w:val="00162810"/>
    <w:rsid w:val="001630C4"/>
    <w:rsid w:val="001717FF"/>
    <w:rsid w:val="0017425B"/>
    <w:rsid w:val="00194D40"/>
    <w:rsid w:val="00195B43"/>
    <w:rsid w:val="001A23BA"/>
    <w:rsid w:val="001A2BF2"/>
    <w:rsid w:val="001A3E1F"/>
    <w:rsid w:val="001A41D7"/>
    <w:rsid w:val="001A502B"/>
    <w:rsid w:val="001A5AAD"/>
    <w:rsid w:val="001A69D5"/>
    <w:rsid w:val="001B23BD"/>
    <w:rsid w:val="001B401A"/>
    <w:rsid w:val="001B4D73"/>
    <w:rsid w:val="001B5628"/>
    <w:rsid w:val="001C0A40"/>
    <w:rsid w:val="001C11FF"/>
    <w:rsid w:val="001C256A"/>
    <w:rsid w:val="001C3B08"/>
    <w:rsid w:val="001C484A"/>
    <w:rsid w:val="001C53BC"/>
    <w:rsid w:val="001D02C0"/>
    <w:rsid w:val="001D3655"/>
    <w:rsid w:val="001D67E6"/>
    <w:rsid w:val="001E22EA"/>
    <w:rsid w:val="001E581E"/>
    <w:rsid w:val="001F4557"/>
    <w:rsid w:val="001F6CEC"/>
    <w:rsid w:val="002001A5"/>
    <w:rsid w:val="00200310"/>
    <w:rsid w:val="002018BC"/>
    <w:rsid w:val="00203849"/>
    <w:rsid w:val="00204AD7"/>
    <w:rsid w:val="00206648"/>
    <w:rsid w:val="00207F0D"/>
    <w:rsid w:val="00211FDE"/>
    <w:rsid w:val="00217A0A"/>
    <w:rsid w:val="00225FCA"/>
    <w:rsid w:val="002324A4"/>
    <w:rsid w:val="002331B3"/>
    <w:rsid w:val="00234C45"/>
    <w:rsid w:val="002358F6"/>
    <w:rsid w:val="002411D2"/>
    <w:rsid w:val="00241A01"/>
    <w:rsid w:val="0024333D"/>
    <w:rsid w:val="002453D1"/>
    <w:rsid w:val="002470FB"/>
    <w:rsid w:val="00250F8A"/>
    <w:rsid w:val="00254FA3"/>
    <w:rsid w:val="00260AA9"/>
    <w:rsid w:val="00266490"/>
    <w:rsid w:val="002728B9"/>
    <w:rsid w:val="00276574"/>
    <w:rsid w:val="00276913"/>
    <w:rsid w:val="00276BC7"/>
    <w:rsid w:val="0028196D"/>
    <w:rsid w:val="00284692"/>
    <w:rsid w:val="00284C6B"/>
    <w:rsid w:val="002953CB"/>
    <w:rsid w:val="00296404"/>
    <w:rsid w:val="00297B62"/>
    <w:rsid w:val="002A1466"/>
    <w:rsid w:val="002A4A90"/>
    <w:rsid w:val="002A7EFB"/>
    <w:rsid w:val="002B0BF8"/>
    <w:rsid w:val="002B1474"/>
    <w:rsid w:val="002C1D49"/>
    <w:rsid w:val="002C1F8D"/>
    <w:rsid w:val="002D04C2"/>
    <w:rsid w:val="002D05CC"/>
    <w:rsid w:val="002D0A1D"/>
    <w:rsid w:val="002D0C62"/>
    <w:rsid w:val="002D206F"/>
    <w:rsid w:val="002D25BD"/>
    <w:rsid w:val="002D4217"/>
    <w:rsid w:val="002D67CA"/>
    <w:rsid w:val="002E0E0A"/>
    <w:rsid w:val="002E1D40"/>
    <w:rsid w:val="002E34F1"/>
    <w:rsid w:val="002E3BD9"/>
    <w:rsid w:val="002E68A1"/>
    <w:rsid w:val="002F127A"/>
    <w:rsid w:val="002F1D13"/>
    <w:rsid w:val="002F67ED"/>
    <w:rsid w:val="002F70A0"/>
    <w:rsid w:val="00305758"/>
    <w:rsid w:val="0030774F"/>
    <w:rsid w:val="0031107C"/>
    <w:rsid w:val="00313B57"/>
    <w:rsid w:val="00314996"/>
    <w:rsid w:val="003205C9"/>
    <w:rsid w:val="00321306"/>
    <w:rsid w:val="0032680A"/>
    <w:rsid w:val="00327049"/>
    <w:rsid w:val="00327EAB"/>
    <w:rsid w:val="00333CF3"/>
    <w:rsid w:val="00334807"/>
    <w:rsid w:val="00334879"/>
    <w:rsid w:val="00334B6D"/>
    <w:rsid w:val="00342BFF"/>
    <w:rsid w:val="003432A8"/>
    <w:rsid w:val="00347070"/>
    <w:rsid w:val="00352D7C"/>
    <w:rsid w:val="00354641"/>
    <w:rsid w:val="00363183"/>
    <w:rsid w:val="003658A8"/>
    <w:rsid w:val="00365FB2"/>
    <w:rsid w:val="0037004E"/>
    <w:rsid w:val="0037029B"/>
    <w:rsid w:val="003707E6"/>
    <w:rsid w:val="00373A17"/>
    <w:rsid w:val="00380B15"/>
    <w:rsid w:val="00383374"/>
    <w:rsid w:val="003973CE"/>
    <w:rsid w:val="00397900"/>
    <w:rsid w:val="003A0C18"/>
    <w:rsid w:val="003A210A"/>
    <w:rsid w:val="003B0392"/>
    <w:rsid w:val="003B0513"/>
    <w:rsid w:val="003B0EF5"/>
    <w:rsid w:val="003B12E2"/>
    <w:rsid w:val="003C1084"/>
    <w:rsid w:val="003C3951"/>
    <w:rsid w:val="003C6788"/>
    <w:rsid w:val="003C6B9E"/>
    <w:rsid w:val="003C70FB"/>
    <w:rsid w:val="003D39CE"/>
    <w:rsid w:val="003E0A97"/>
    <w:rsid w:val="003E3FFC"/>
    <w:rsid w:val="003E40F4"/>
    <w:rsid w:val="003E6D7E"/>
    <w:rsid w:val="003F2A99"/>
    <w:rsid w:val="003F2D2E"/>
    <w:rsid w:val="003F305C"/>
    <w:rsid w:val="003F3B94"/>
    <w:rsid w:val="003F443F"/>
    <w:rsid w:val="003F5D80"/>
    <w:rsid w:val="003F6EEE"/>
    <w:rsid w:val="004007EE"/>
    <w:rsid w:val="004046A5"/>
    <w:rsid w:val="00410B87"/>
    <w:rsid w:val="00412641"/>
    <w:rsid w:val="00415379"/>
    <w:rsid w:val="00417FC2"/>
    <w:rsid w:val="00421648"/>
    <w:rsid w:val="00423758"/>
    <w:rsid w:val="004245FF"/>
    <w:rsid w:val="00425A6E"/>
    <w:rsid w:val="00432722"/>
    <w:rsid w:val="00433AC9"/>
    <w:rsid w:val="00433E00"/>
    <w:rsid w:val="0043510F"/>
    <w:rsid w:val="00435533"/>
    <w:rsid w:val="00437A59"/>
    <w:rsid w:val="004405E2"/>
    <w:rsid w:val="00440694"/>
    <w:rsid w:val="00441D60"/>
    <w:rsid w:val="004429E1"/>
    <w:rsid w:val="004449F8"/>
    <w:rsid w:val="00446DF7"/>
    <w:rsid w:val="004519C3"/>
    <w:rsid w:val="004568D3"/>
    <w:rsid w:val="00456A04"/>
    <w:rsid w:val="0046170F"/>
    <w:rsid w:val="00465108"/>
    <w:rsid w:val="00474D1B"/>
    <w:rsid w:val="00477446"/>
    <w:rsid w:val="00480814"/>
    <w:rsid w:val="0048231A"/>
    <w:rsid w:val="00487634"/>
    <w:rsid w:val="00492272"/>
    <w:rsid w:val="00494C1C"/>
    <w:rsid w:val="00495F29"/>
    <w:rsid w:val="00496B2D"/>
    <w:rsid w:val="00497035"/>
    <w:rsid w:val="004A3B62"/>
    <w:rsid w:val="004A745F"/>
    <w:rsid w:val="004B2D74"/>
    <w:rsid w:val="004B54FA"/>
    <w:rsid w:val="004B5AED"/>
    <w:rsid w:val="004B6A5C"/>
    <w:rsid w:val="004C0C02"/>
    <w:rsid w:val="004C6CD0"/>
    <w:rsid w:val="004D099F"/>
    <w:rsid w:val="004D77C0"/>
    <w:rsid w:val="004E28CE"/>
    <w:rsid w:val="004E2EE9"/>
    <w:rsid w:val="004E3A6E"/>
    <w:rsid w:val="004E7F8A"/>
    <w:rsid w:val="004F2929"/>
    <w:rsid w:val="004F5354"/>
    <w:rsid w:val="005003E4"/>
    <w:rsid w:val="005060A2"/>
    <w:rsid w:val="00510D41"/>
    <w:rsid w:val="00512D53"/>
    <w:rsid w:val="005154BF"/>
    <w:rsid w:val="00515795"/>
    <w:rsid w:val="00520C46"/>
    <w:rsid w:val="00525655"/>
    <w:rsid w:val="00534E58"/>
    <w:rsid w:val="00534F7E"/>
    <w:rsid w:val="00534F86"/>
    <w:rsid w:val="00535369"/>
    <w:rsid w:val="00535B03"/>
    <w:rsid w:val="0053796A"/>
    <w:rsid w:val="00541D20"/>
    <w:rsid w:val="0054448F"/>
    <w:rsid w:val="005508CC"/>
    <w:rsid w:val="0055342F"/>
    <w:rsid w:val="00554646"/>
    <w:rsid w:val="0055613A"/>
    <w:rsid w:val="0055641E"/>
    <w:rsid w:val="005564AA"/>
    <w:rsid w:val="005603E4"/>
    <w:rsid w:val="00560935"/>
    <w:rsid w:val="00567364"/>
    <w:rsid w:val="0057550C"/>
    <w:rsid w:val="005931B0"/>
    <w:rsid w:val="005A28D6"/>
    <w:rsid w:val="005A476F"/>
    <w:rsid w:val="005A5AA7"/>
    <w:rsid w:val="005A65E4"/>
    <w:rsid w:val="005A73CC"/>
    <w:rsid w:val="005B2551"/>
    <w:rsid w:val="005B77D3"/>
    <w:rsid w:val="005C3F59"/>
    <w:rsid w:val="005D29FF"/>
    <w:rsid w:val="005D2C9D"/>
    <w:rsid w:val="005D43F8"/>
    <w:rsid w:val="005D6D27"/>
    <w:rsid w:val="005E57A2"/>
    <w:rsid w:val="005E6CAE"/>
    <w:rsid w:val="005F1A2F"/>
    <w:rsid w:val="005F34B8"/>
    <w:rsid w:val="005F5AA9"/>
    <w:rsid w:val="00611965"/>
    <w:rsid w:val="00612E63"/>
    <w:rsid w:val="00617D42"/>
    <w:rsid w:val="00620A3F"/>
    <w:rsid w:val="006212B6"/>
    <w:rsid w:val="0062289E"/>
    <w:rsid w:val="0062507D"/>
    <w:rsid w:val="00632206"/>
    <w:rsid w:val="006347FB"/>
    <w:rsid w:val="00637010"/>
    <w:rsid w:val="00645E70"/>
    <w:rsid w:val="0064634C"/>
    <w:rsid w:val="006502BC"/>
    <w:rsid w:val="006506B2"/>
    <w:rsid w:val="00651E37"/>
    <w:rsid w:val="006526E8"/>
    <w:rsid w:val="00665C33"/>
    <w:rsid w:val="00667EC3"/>
    <w:rsid w:val="00670B4F"/>
    <w:rsid w:val="00672510"/>
    <w:rsid w:val="0067655A"/>
    <w:rsid w:val="0067792C"/>
    <w:rsid w:val="00680156"/>
    <w:rsid w:val="00685FB5"/>
    <w:rsid w:val="00686289"/>
    <w:rsid w:val="00687D79"/>
    <w:rsid w:val="006911E9"/>
    <w:rsid w:val="00691E2E"/>
    <w:rsid w:val="00696513"/>
    <w:rsid w:val="006A597C"/>
    <w:rsid w:val="006A69E1"/>
    <w:rsid w:val="006A7ECB"/>
    <w:rsid w:val="006B436D"/>
    <w:rsid w:val="006B46A5"/>
    <w:rsid w:val="006B5C6B"/>
    <w:rsid w:val="006B6EA0"/>
    <w:rsid w:val="006C05A8"/>
    <w:rsid w:val="006C0F03"/>
    <w:rsid w:val="006D27AC"/>
    <w:rsid w:val="006D2B3C"/>
    <w:rsid w:val="006E3A96"/>
    <w:rsid w:val="006F0C1D"/>
    <w:rsid w:val="006F1856"/>
    <w:rsid w:val="006F27A0"/>
    <w:rsid w:val="006F2948"/>
    <w:rsid w:val="006F2A96"/>
    <w:rsid w:val="006F5419"/>
    <w:rsid w:val="00700928"/>
    <w:rsid w:val="00700A46"/>
    <w:rsid w:val="0070354A"/>
    <w:rsid w:val="00710014"/>
    <w:rsid w:val="007126B5"/>
    <w:rsid w:val="007177B1"/>
    <w:rsid w:val="00724730"/>
    <w:rsid w:val="00730114"/>
    <w:rsid w:val="00733220"/>
    <w:rsid w:val="00733728"/>
    <w:rsid w:val="00733F52"/>
    <w:rsid w:val="00735AEB"/>
    <w:rsid w:val="0074436B"/>
    <w:rsid w:val="00744376"/>
    <w:rsid w:val="00750BF0"/>
    <w:rsid w:val="00751203"/>
    <w:rsid w:val="007516B2"/>
    <w:rsid w:val="00755655"/>
    <w:rsid w:val="007617B4"/>
    <w:rsid w:val="00761912"/>
    <w:rsid w:val="0076466E"/>
    <w:rsid w:val="007660D3"/>
    <w:rsid w:val="0076700E"/>
    <w:rsid w:val="00772EDC"/>
    <w:rsid w:val="0077565B"/>
    <w:rsid w:val="007772DC"/>
    <w:rsid w:val="00777675"/>
    <w:rsid w:val="007811DF"/>
    <w:rsid w:val="0078398D"/>
    <w:rsid w:val="00794108"/>
    <w:rsid w:val="007A1E8C"/>
    <w:rsid w:val="007A2A7D"/>
    <w:rsid w:val="007A30FD"/>
    <w:rsid w:val="007B07B3"/>
    <w:rsid w:val="007B143D"/>
    <w:rsid w:val="007B147B"/>
    <w:rsid w:val="007B1BE6"/>
    <w:rsid w:val="007B3BC4"/>
    <w:rsid w:val="007C1CE8"/>
    <w:rsid w:val="007C6662"/>
    <w:rsid w:val="007D0175"/>
    <w:rsid w:val="007D16AC"/>
    <w:rsid w:val="007D36C7"/>
    <w:rsid w:val="007D6D54"/>
    <w:rsid w:val="007D7263"/>
    <w:rsid w:val="007D7B11"/>
    <w:rsid w:val="007D7EDD"/>
    <w:rsid w:val="007E1CD2"/>
    <w:rsid w:val="007E2815"/>
    <w:rsid w:val="007E34B6"/>
    <w:rsid w:val="007E5F2F"/>
    <w:rsid w:val="007F345B"/>
    <w:rsid w:val="007F3711"/>
    <w:rsid w:val="007F4455"/>
    <w:rsid w:val="007F5123"/>
    <w:rsid w:val="007F6D84"/>
    <w:rsid w:val="0080156F"/>
    <w:rsid w:val="00803DF9"/>
    <w:rsid w:val="0080521E"/>
    <w:rsid w:val="008057F2"/>
    <w:rsid w:val="008113D8"/>
    <w:rsid w:val="00816DF5"/>
    <w:rsid w:val="008172EF"/>
    <w:rsid w:val="00822597"/>
    <w:rsid w:val="00823652"/>
    <w:rsid w:val="00824910"/>
    <w:rsid w:val="00833288"/>
    <w:rsid w:val="008338E6"/>
    <w:rsid w:val="0083414D"/>
    <w:rsid w:val="00846206"/>
    <w:rsid w:val="00846880"/>
    <w:rsid w:val="008478D4"/>
    <w:rsid w:val="008513E7"/>
    <w:rsid w:val="008542A3"/>
    <w:rsid w:val="0085502F"/>
    <w:rsid w:val="008578EE"/>
    <w:rsid w:val="00860C3E"/>
    <w:rsid w:val="008613F9"/>
    <w:rsid w:val="00862EED"/>
    <w:rsid w:val="00866EB9"/>
    <w:rsid w:val="00870919"/>
    <w:rsid w:val="00870D2D"/>
    <w:rsid w:val="0087782A"/>
    <w:rsid w:val="00881D6D"/>
    <w:rsid w:val="008858AF"/>
    <w:rsid w:val="00896C22"/>
    <w:rsid w:val="00897BB5"/>
    <w:rsid w:val="008B1039"/>
    <w:rsid w:val="008B62FF"/>
    <w:rsid w:val="008B742F"/>
    <w:rsid w:val="008C273A"/>
    <w:rsid w:val="008C360A"/>
    <w:rsid w:val="008C704E"/>
    <w:rsid w:val="008C71E3"/>
    <w:rsid w:val="008C7476"/>
    <w:rsid w:val="008D29EF"/>
    <w:rsid w:val="008D34C8"/>
    <w:rsid w:val="008D4CB0"/>
    <w:rsid w:val="008D5357"/>
    <w:rsid w:val="008E28E3"/>
    <w:rsid w:val="008E5673"/>
    <w:rsid w:val="008F1D3B"/>
    <w:rsid w:val="008F4090"/>
    <w:rsid w:val="008F59AF"/>
    <w:rsid w:val="008F617D"/>
    <w:rsid w:val="00900038"/>
    <w:rsid w:val="009104A0"/>
    <w:rsid w:val="00913695"/>
    <w:rsid w:val="00917EB1"/>
    <w:rsid w:val="0092355A"/>
    <w:rsid w:val="00925D14"/>
    <w:rsid w:val="00933E07"/>
    <w:rsid w:val="00936870"/>
    <w:rsid w:val="00936CFE"/>
    <w:rsid w:val="00940AFC"/>
    <w:rsid w:val="00942605"/>
    <w:rsid w:val="00943135"/>
    <w:rsid w:val="00945840"/>
    <w:rsid w:val="0095105E"/>
    <w:rsid w:val="009514E4"/>
    <w:rsid w:val="00952960"/>
    <w:rsid w:val="00953B89"/>
    <w:rsid w:val="00955BAB"/>
    <w:rsid w:val="00957F27"/>
    <w:rsid w:val="00960548"/>
    <w:rsid w:val="009631B9"/>
    <w:rsid w:val="00963739"/>
    <w:rsid w:val="00963FDC"/>
    <w:rsid w:val="00966DCB"/>
    <w:rsid w:val="009705C8"/>
    <w:rsid w:val="00972A4D"/>
    <w:rsid w:val="0097572F"/>
    <w:rsid w:val="00976834"/>
    <w:rsid w:val="00977C80"/>
    <w:rsid w:val="00984567"/>
    <w:rsid w:val="00985E31"/>
    <w:rsid w:val="00990EF6"/>
    <w:rsid w:val="009A13A2"/>
    <w:rsid w:val="009A37F2"/>
    <w:rsid w:val="009A558F"/>
    <w:rsid w:val="009B6227"/>
    <w:rsid w:val="009B6CF2"/>
    <w:rsid w:val="009C1FD9"/>
    <w:rsid w:val="009C1FE6"/>
    <w:rsid w:val="009C2406"/>
    <w:rsid w:val="009C346F"/>
    <w:rsid w:val="009C7663"/>
    <w:rsid w:val="009D4555"/>
    <w:rsid w:val="009D5BE8"/>
    <w:rsid w:val="009D60AB"/>
    <w:rsid w:val="009D6476"/>
    <w:rsid w:val="009E4D33"/>
    <w:rsid w:val="009E67AF"/>
    <w:rsid w:val="009F0243"/>
    <w:rsid w:val="00A00866"/>
    <w:rsid w:val="00A01C87"/>
    <w:rsid w:val="00A03B7E"/>
    <w:rsid w:val="00A06384"/>
    <w:rsid w:val="00A06BF3"/>
    <w:rsid w:val="00A07AD5"/>
    <w:rsid w:val="00A127C6"/>
    <w:rsid w:val="00A1425D"/>
    <w:rsid w:val="00A154BC"/>
    <w:rsid w:val="00A20FAE"/>
    <w:rsid w:val="00A24CDC"/>
    <w:rsid w:val="00A260FE"/>
    <w:rsid w:val="00A30E94"/>
    <w:rsid w:val="00A32128"/>
    <w:rsid w:val="00A348E3"/>
    <w:rsid w:val="00A429D9"/>
    <w:rsid w:val="00A430BA"/>
    <w:rsid w:val="00A46CF1"/>
    <w:rsid w:val="00A471EA"/>
    <w:rsid w:val="00A47413"/>
    <w:rsid w:val="00A60093"/>
    <w:rsid w:val="00A6042F"/>
    <w:rsid w:val="00A6315D"/>
    <w:rsid w:val="00A65A9A"/>
    <w:rsid w:val="00A65BAE"/>
    <w:rsid w:val="00A7475B"/>
    <w:rsid w:val="00A769F0"/>
    <w:rsid w:val="00A77225"/>
    <w:rsid w:val="00A81725"/>
    <w:rsid w:val="00A87ACB"/>
    <w:rsid w:val="00A93E92"/>
    <w:rsid w:val="00AA0658"/>
    <w:rsid w:val="00AA1454"/>
    <w:rsid w:val="00AA7CBA"/>
    <w:rsid w:val="00AB4EF9"/>
    <w:rsid w:val="00AB5C37"/>
    <w:rsid w:val="00AC5560"/>
    <w:rsid w:val="00AC5962"/>
    <w:rsid w:val="00AD15F6"/>
    <w:rsid w:val="00AD1D4E"/>
    <w:rsid w:val="00AD46D1"/>
    <w:rsid w:val="00AD61B5"/>
    <w:rsid w:val="00AD6B62"/>
    <w:rsid w:val="00AD6BC3"/>
    <w:rsid w:val="00AE2767"/>
    <w:rsid w:val="00AE411F"/>
    <w:rsid w:val="00AE66A1"/>
    <w:rsid w:val="00AF0821"/>
    <w:rsid w:val="00AF143D"/>
    <w:rsid w:val="00AF2A24"/>
    <w:rsid w:val="00AF62E3"/>
    <w:rsid w:val="00AF65B0"/>
    <w:rsid w:val="00B00059"/>
    <w:rsid w:val="00B0026D"/>
    <w:rsid w:val="00B02BDB"/>
    <w:rsid w:val="00B052B8"/>
    <w:rsid w:val="00B070AD"/>
    <w:rsid w:val="00B12602"/>
    <w:rsid w:val="00B130AB"/>
    <w:rsid w:val="00B1695F"/>
    <w:rsid w:val="00B22684"/>
    <w:rsid w:val="00B2335B"/>
    <w:rsid w:val="00B24055"/>
    <w:rsid w:val="00B335D2"/>
    <w:rsid w:val="00B33D0C"/>
    <w:rsid w:val="00B51788"/>
    <w:rsid w:val="00B52C03"/>
    <w:rsid w:val="00B538EB"/>
    <w:rsid w:val="00B55A2B"/>
    <w:rsid w:val="00B57010"/>
    <w:rsid w:val="00B57076"/>
    <w:rsid w:val="00B62416"/>
    <w:rsid w:val="00B6263C"/>
    <w:rsid w:val="00B63A44"/>
    <w:rsid w:val="00B6527F"/>
    <w:rsid w:val="00B70954"/>
    <w:rsid w:val="00B7218C"/>
    <w:rsid w:val="00B74C2E"/>
    <w:rsid w:val="00B76D4C"/>
    <w:rsid w:val="00B812BD"/>
    <w:rsid w:val="00B937DD"/>
    <w:rsid w:val="00B940C4"/>
    <w:rsid w:val="00B94910"/>
    <w:rsid w:val="00B94A74"/>
    <w:rsid w:val="00B94DFB"/>
    <w:rsid w:val="00BA1262"/>
    <w:rsid w:val="00BA1ACE"/>
    <w:rsid w:val="00BA1D6F"/>
    <w:rsid w:val="00BA640F"/>
    <w:rsid w:val="00BB45F7"/>
    <w:rsid w:val="00BB5D1A"/>
    <w:rsid w:val="00BB5D57"/>
    <w:rsid w:val="00BD0B3E"/>
    <w:rsid w:val="00BD3028"/>
    <w:rsid w:val="00BD371D"/>
    <w:rsid w:val="00BD52B0"/>
    <w:rsid w:val="00BD5CFE"/>
    <w:rsid w:val="00BE58B5"/>
    <w:rsid w:val="00BE63FC"/>
    <w:rsid w:val="00BE7101"/>
    <w:rsid w:val="00BF4A2C"/>
    <w:rsid w:val="00BF608F"/>
    <w:rsid w:val="00BF74B4"/>
    <w:rsid w:val="00C04205"/>
    <w:rsid w:val="00C06805"/>
    <w:rsid w:val="00C113D6"/>
    <w:rsid w:val="00C145D9"/>
    <w:rsid w:val="00C2014E"/>
    <w:rsid w:val="00C23B9F"/>
    <w:rsid w:val="00C27D58"/>
    <w:rsid w:val="00C44675"/>
    <w:rsid w:val="00C5021E"/>
    <w:rsid w:val="00C517B8"/>
    <w:rsid w:val="00C61695"/>
    <w:rsid w:val="00C61FF7"/>
    <w:rsid w:val="00C62B67"/>
    <w:rsid w:val="00C6467F"/>
    <w:rsid w:val="00C75CB7"/>
    <w:rsid w:val="00C774F3"/>
    <w:rsid w:val="00C82478"/>
    <w:rsid w:val="00C840B3"/>
    <w:rsid w:val="00C848BD"/>
    <w:rsid w:val="00C86ECF"/>
    <w:rsid w:val="00C91EEF"/>
    <w:rsid w:val="00C957F3"/>
    <w:rsid w:val="00C96394"/>
    <w:rsid w:val="00C97D35"/>
    <w:rsid w:val="00CA0005"/>
    <w:rsid w:val="00CA0AE1"/>
    <w:rsid w:val="00CA2D1D"/>
    <w:rsid w:val="00CA48F0"/>
    <w:rsid w:val="00CA5216"/>
    <w:rsid w:val="00CA6903"/>
    <w:rsid w:val="00CB00AD"/>
    <w:rsid w:val="00CB013B"/>
    <w:rsid w:val="00CB0C7D"/>
    <w:rsid w:val="00CB1418"/>
    <w:rsid w:val="00CB2033"/>
    <w:rsid w:val="00CC0D86"/>
    <w:rsid w:val="00CC1CA0"/>
    <w:rsid w:val="00CC54B5"/>
    <w:rsid w:val="00CC588A"/>
    <w:rsid w:val="00CD0228"/>
    <w:rsid w:val="00CD33FC"/>
    <w:rsid w:val="00CE268B"/>
    <w:rsid w:val="00CE2D05"/>
    <w:rsid w:val="00CE2FB1"/>
    <w:rsid w:val="00CF0154"/>
    <w:rsid w:val="00CF0853"/>
    <w:rsid w:val="00CF44FA"/>
    <w:rsid w:val="00CF472A"/>
    <w:rsid w:val="00CF62E4"/>
    <w:rsid w:val="00D01837"/>
    <w:rsid w:val="00D067F5"/>
    <w:rsid w:val="00D06B2A"/>
    <w:rsid w:val="00D06C59"/>
    <w:rsid w:val="00D06CD9"/>
    <w:rsid w:val="00D075D3"/>
    <w:rsid w:val="00D1128B"/>
    <w:rsid w:val="00D16BB3"/>
    <w:rsid w:val="00D209E1"/>
    <w:rsid w:val="00D2164B"/>
    <w:rsid w:val="00D21A01"/>
    <w:rsid w:val="00D22B70"/>
    <w:rsid w:val="00D25B79"/>
    <w:rsid w:val="00D2614D"/>
    <w:rsid w:val="00D31C21"/>
    <w:rsid w:val="00D34E1E"/>
    <w:rsid w:val="00D43278"/>
    <w:rsid w:val="00D4556F"/>
    <w:rsid w:val="00D468CE"/>
    <w:rsid w:val="00D4704C"/>
    <w:rsid w:val="00D528C3"/>
    <w:rsid w:val="00D5338E"/>
    <w:rsid w:val="00D57433"/>
    <w:rsid w:val="00D638AC"/>
    <w:rsid w:val="00D63BA2"/>
    <w:rsid w:val="00D7120A"/>
    <w:rsid w:val="00D73FD1"/>
    <w:rsid w:val="00D75E73"/>
    <w:rsid w:val="00D76F20"/>
    <w:rsid w:val="00D94828"/>
    <w:rsid w:val="00D95DC0"/>
    <w:rsid w:val="00DA1281"/>
    <w:rsid w:val="00DA54CD"/>
    <w:rsid w:val="00DA5CEA"/>
    <w:rsid w:val="00DB0A76"/>
    <w:rsid w:val="00DB29A3"/>
    <w:rsid w:val="00DB2A2C"/>
    <w:rsid w:val="00DB39A6"/>
    <w:rsid w:val="00DB6E25"/>
    <w:rsid w:val="00DC26B1"/>
    <w:rsid w:val="00DC398E"/>
    <w:rsid w:val="00DC4B06"/>
    <w:rsid w:val="00DC4CFD"/>
    <w:rsid w:val="00DC4DAD"/>
    <w:rsid w:val="00DC6A79"/>
    <w:rsid w:val="00DC7982"/>
    <w:rsid w:val="00DD5BC0"/>
    <w:rsid w:val="00DD72D2"/>
    <w:rsid w:val="00DE29E2"/>
    <w:rsid w:val="00DE3051"/>
    <w:rsid w:val="00DE5871"/>
    <w:rsid w:val="00DE614C"/>
    <w:rsid w:val="00DF79E6"/>
    <w:rsid w:val="00DF7F87"/>
    <w:rsid w:val="00E0024A"/>
    <w:rsid w:val="00E02120"/>
    <w:rsid w:val="00E02415"/>
    <w:rsid w:val="00E0332C"/>
    <w:rsid w:val="00E069F6"/>
    <w:rsid w:val="00E12C18"/>
    <w:rsid w:val="00E16C3E"/>
    <w:rsid w:val="00E21554"/>
    <w:rsid w:val="00E25376"/>
    <w:rsid w:val="00E25D99"/>
    <w:rsid w:val="00E3028D"/>
    <w:rsid w:val="00E32F0B"/>
    <w:rsid w:val="00E415B9"/>
    <w:rsid w:val="00E45DAF"/>
    <w:rsid w:val="00E508B0"/>
    <w:rsid w:val="00E54AAC"/>
    <w:rsid w:val="00E570E6"/>
    <w:rsid w:val="00E61D24"/>
    <w:rsid w:val="00E753C4"/>
    <w:rsid w:val="00E7579C"/>
    <w:rsid w:val="00E77784"/>
    <w:rsid w:val="00E83990"/>
    <w:rsid w:val="00E9143A"/>
    <w:rsid w:val="00E9353E"/>
    <w:rsid w:val="00E93EFA"/>
    <w:rsid w:val="00E947ED"/>
    <w:rsid w:val="00E97312"/>
    <w:rsid w:val="00EA13C9"/>
    <w:rsid w:val="00EA6859"/>
    <w:rsid w:val="00EA6895"/>
    <w:rsid w:val="00EB1B9F"/>
    <w:rsid w:val="00EC3E76"/>
    <w:rsid w:val="00EC4194"/>
    <w:rsid w:val="00EC7765"/>
    <w:rsid w:val="00EC7FFA"/>
    <w:rsid w:val="00ED24B9"/>
    <w:rsid w:val="00ED5167"/>
    <w:rsid w:val="00ED5B45"/>
    <w:rsid w:val="00EE0A18"/>
    <w:rsid w:val="00EE0AAA"/>
    <w:rsid w:val="00EE1C29"/>
    <w:rsid w:val="00EE3286"/>
    <w:rsid w:val="00EE4E12"/>
    <w:rsid w:val="00EE7F13"/>
    <w:rsid w:val="00EF4DA6"/>
    <w:rsid w:val="00F0043B"/>
    <w:rsid w:val="00F043E7"/>
    <w:rsid w:val="00F07BBD"/>
    <w:rsid w:val="00F11934"/>
    <w:rsid w:val="00F129A8"/>
    <w:rsid w:val="00F16C56"/>
    <w:rsid w:val="00F20902"/>
    <w:rsid w:val="00F2571A"/>
    <w:rsid w:val="00F26D49"/>
    <w:rsid w:val="00F317FF"/>
    <w:rsid w:val="00F3487F"/>
    <w:rsid w:val="00F34EE3"/>
    <w:rsid w:val="00F3539B"/>
    <w:rsid w:val="00F37AA0"/>
    <w:rsid w:val="00F4150D"/>
    <w:rsid w:val="00F43F2C"/>
    <w:rsid w:val="00F43F41"/>
    <w:rsid w:val="00F44825"/>
    <w:rsid w:val="00F51265"/>
    <w:rsid w:val="00F55570"/>
    <w:rsid w:val="00F5743D"/>
    <w:rsid w:val="00F57DDD"/>
    <w:rsid w:val="00F61A1C"/>
    <w:rsid w:val="00F622A2"/>
    <w:rsid w:val="00F629E3"/>
    <w:rsid w:val="00F66322"/>
    <w:rsid w:val="00F70150"/>
    <w:rsid w:val="00F709DA"/>
    <w:rsid w:val="00F73A43"/>
    <w:rsid w:val="00F80690"/>
    <w:rsid w:val="00F84D15"/>
    <w:rsid w:val="00F84D97"/>
    <w:rsid w:val="00F87465"/>
    <w:rsid w:val="00F944F3"/>
    <w:rsid w:val="00F975FD"/>
    <w:rsid w:val="00F97C1A"/>
    <w:rsid w:val="00FA6A50"/>
    <w:rsid w:val="00FA6FEF"/>
    <w:rsid w:val="00FB05A9"/>
    <w:rsid w:val="00FB0725"/>
    <w:rsid w:val="00FB07AA"/>
    <w:rsid w:val="00FB29C4"/>
    <w:rsid w:val="00FC33BC"/>
    <w:rsid w:val="00FC400B"/>
    <w:rsid w:val="00FC6C9B"/>
    <w:rsid w:val="00FD32C1"/>
    <w:rsid w:val="00FD6AAF"/>
    <w:rsid w:val="00FE0076"/>
    <w:rsid w:val="00FE1BFC"/>
    <w:rsid w:val="00FE25D1"/>
    <w:rsid w:val="00FE45F7"/>
    <w:rsid w:val="00FE4706"/>
    <w:rsid w:val="00FE4E87"/>
    <w:rsid w:val="00FF4C1F"/>
    <w:rsid w:val="00FF599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268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F5354"/>
    <w:pPr>
      <w:ind w:left="720"/>
      <w:contextualSpacing/>
    </w:pPr>
  </w:style>
  <w:style w:type="paragraph" w:styleId="Tekstprzypisudolnego">
    <w:name w:val="footnote text"/>
    <w:basedOn w:val="Normalny"/>
    <w:link w:val="TekstprzypisudolnegoZnak"/>
    <w:uiPriority w:val="99"/>
    <w:semiHidden/>
    <w:unhideWhenUsed/>
    <w:rsid w:val="00F5557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F55570"/>
    <w:rPr>
      <w:rFonts w:ascii="Calibri" w:eastAsia="Calibri" w:hAnsi="Calibri" w:cs="Times New Roman"/>
      <w:sz w:val="20"/>
      <w:szCs w:val="20"/>
    </w:rPr>
  </w:style>
  <w:style w:type="character" w:styleId="Odwoanieprzypisudolnego">
    <w:name w:val="footnote reference"/>
    <w:uiPriority w:val="99"/>
    <w:semiHidden/>
    <w:unhideWhenUsed/>
    <w:rsid w:val="00F55570"/>
    <w:rPr>
      <w:vertAlign w:val="superscript"/>
    </w:rPr>
  </w:style>
  <w:style w:type="table" w:styleId="Tabela-Siatka">
    <w:name w:val="Table Grid"/>
    <w:basedOn w:val="Standardowy"/>
    <w:uiPriority w:val="59"/>
    <w:rsid w:val="00321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E6C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CAE"/>
  </w:style>
  <w:style w:type="paragraph" w:styleId="Stopka">
    <w:name w:val="footer"/>
    <w:basedOn w:val="Normalny"/>
    <w:link w:val="StopkaZnak"/>
    <w:uiPriority w:val="99"/>
    <w:unhideWhenUsed/>
    <w:rsid w:val="005E6C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CAE"/>
  </w:style>
  <w:style w:type="character" w:styleId="Odwoaniedokomentarza">
    <w:name w:val="annotation reference"/>
    <w:basedOn w:val="Domylnaczcionkaakapitu"/>
    <w:uiPriority w:val="99"/>
    <w:semiHidden/>
    <w:unhideWhenUsed/>
    <w:rsid w:val="007A1E8C"/>
    <w:rPr>
      <w:sz w:val="16"/>
      <w:szCs w:val="16"/>
    </w:rPr>
  </w:style>
  <w:style w:type="paragraph" w:styleId="Tekstkomentarza">
    <w:name w:val="annotation text"/>
    <w:basedOn w:val="Normalny"/>
    <w:link w:val="TekstkomentarzaZnak"/>
    <w:uiPriority w:val="99"/>
    <w:semiHidden/>
    <w:unhideWhenUsed/>
    <w:rsid w:val="007A1E8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1E8C"/>
    <w:rPr>
      <w:sz w:val="20"/>
      <w:szCs w:val="20"/>
    </w:rPr>
  </w:style>
  <w:style w:type="paragraph" w:styleId="Tematkomentarza">
    <w:name w:val="annotation subject"/>
    <w:basedOn w:val="Tekstkomentarza"/>
    <w:next w:val="Tekstkomentarza"/>
    <w:link w:val="TematkomentarzaZnak"/>
    <w:uiPriority w:val="99"/>
    <w:semiHidden/>
    <w:unhideWhenUsed/>
    <w:rsid w:val="007A1E8C"/>
    <w:rPr>
      <w:b/>
      <w:bCs/>
    </w:rPr>
  </w:style>
  <w:style w:type="character" w:customStyle="1" w:styleId="TematkomentarzaZnak">
    <w:name w:val="Temat komentarza Znak"/>
    <w:basedOn w:val="TekstkomentarzaZnak"/>
    <w:link w:val="Tematkomentarza"/>
    <w:uiPriority w:val="99"/>
    <w:semiHidden/>
    <w:rsid w:val="007A1E8C"/>
    <w:rPr>
      <w:b/>
      <w:bCs/>
      <w:sz w:val="20"/>
      <w:szCs w:val="20"/>
    </w:rPr>
  </w:style>
  <w:style w:type="paragraph" w:styleId="Tekstdymka">
    <w:name w:val="Balloon Text"/>
    <w:basedOn w:val="Normalny"/>
    <w:link w:val="TekstdymkaZnak"/>
    <w:uiPriority w:val="99"/>
    <w:semiHidden/>
    <w:unhideWhenUsed/>
    <w:rsid w:val="007A1E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E8C"/>
    <w:rPr>
      <w:rFonts w:ascii="Tahoma" w:hAnsi="Tahoma" w:cs="Tahoma"/>
      <w:sz w:val="16"/>
      <w:szCs w:val="16"/>
    </w:rPr>
  </w:style>
  <w:style w:type="character" w:styleId="Hipercze">
    <w:name w:val="Hyperlink"/>
    <w:basedOn w:val="Domylnaczcionkaakapitu"/>
    <w:unhideWhenUsed/>
    <w:rsid w:val="00D63BA2"/>
    <w:rPr>
      <w:color w:val="0000FF"/>
      <w:u w:val="single"/>
    </w:rPr>
  </w:style>
  <w:style w:type="character" w:styleId="UyteHipercze">
    <w:name w:val="FollowedHyperlink"/>
    <w:basedOn w:val="Domylnaczcionkaakapitu"/>
    <w:uiPriority w:val="99"/>
    <w:semiHidden/>
    <w:unhideWhenUsed/>
    <w:rsid w:val="003F2A99"/>
    <w:rPr>
      <w:color w:val="800080" w:themeColor="followedHyperlink"/>
      <w:u w:val="single"/>
    </w:rPr>
  </w:style>
  <w:style w:type="paragraph" w:styleId="Zwykytekst">
    <w:name w:val="Plain Text"/>
    <w:basedOn w:val="Normalny"/>
    <w:link w:val="ZwykytekstZnak"/>
    <w:unhideWhenUsed/>
    <w:rsid w:val="00C06805"/>
    <w:pPr>
      <w:spacing w:after="0" w:line="240" w:lineRule="auto"/>
    </w:pPr>
    <w:rPr>
      <w:rFonts w:ascii="Consolas" w:eastAsia="Calibri" w:hAnsi="Consolas" w:cs="Times New Roman"/>
      <w:sz w:val="21"/>
      <w:szCs w:val="21"/>
      <w:lang w:eastAsia="en-US"/>
    </w:rPr>
  </w:style>
  <w:style w:type="character" w:customStyle="1" w:styleId="ZwykytekstZnak">
    <w:name w:val="Zwykły tekst Znak"/>
    <w:basedOn w:val="Domylnaczcionkaakapitu"/>
    <w:link w:val="Zwykytekst"/>
    <w:rsid w:val="00C06805"/>
    <w:rPr>
      <w:rFonts w:ascii="Consolas" w:eastAsia="Calibri" w:hAnsi="Consolas" w:cs="Times New Roman"/>
      <w:sz w:val="21"/>
      <w:szCs w:val="21"/>
      <w:lang w:eastAsia="en-US"/>
    </w:rPr>
  </w:style>
  <w:style w:type="paragraph" w:customStyle="1" w:styleId="Default">
    <w:name w:val="Default"/>
    <w:rsid w:val="00E9143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AkapitzlistZnak">
    <w:name w:val="Akapit z listą Znak"/>
    <w:link w:val="Akapitzlist"/>
    <w:uiPriority w:val="34"/>
    <w:rsid w:val="00E9143A"/>
  </w:style>
  <w:style w:type="paragraph" w:customStyle="1" w:styleId="Style1">
    <w:name w:val="Style 1"/>
    <w:uiPriority w:val="99"/>
    <w:rsid w:val="000C73C8"/>
    <w:pPr>
      <w:widowControl w:val="0"/>
      <w:autoSpaceDE w:val="0"/>
      <w:autoSpaceDN w:val="0"/>
      <w:adjustRightInd w:val="0"/>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5354"/>
    <w:pPr>
      <w:ind w:left="720"/>
      <w:contextualSpacing/>
    </w:pPr>
  </w:style>
  <w:style w:type="paragraph" w:styleId="Tekstprzypisudolnego">
    <w:name w:val="footnote text"/>
    <w:basedOn w:val="Normalny"/>
    <w:link w:val="TekstprzypisudolnegoZnak"/>
    <w:uiPriority w:val="99"/>
    <w:semiHidden/>
    <w:unhideWhenUsed/>
    <w:rsid w:val="00F55570"/>
    <w:pPr>
      <w:spacing w:after="0" w:line="240" w:lineRule="auto"/>
    </w:pPr>
    <w:rPr>
      <w:rFonts w:ascii="Calibri" w:eastAsia="Calibri" w:hAnsi="Calibri" w:cs="Times New Roman"/>
      <w:sz w:val="20"/>
      <w:szCs w:val="20"/>
    </w:rPr>
  </w:style>
  <w:style w:type="character" w:customStyle="1" w:styleId="TekstprzypisudolnegoZnak">
    <w:name w:val="Tekst przypisu dolnego Znak"/>
    <w:basedOn w:val="Domylnaczcionkaakapitu"/>
    <w:link w:val="Tekstprzypisudolnego"/>
    <w:uiPriority w:val="99"/>
    <w:semiHidden/>
    <w:rsid w:val="00F55570"/>
    <w:rPr>
      <w:rFonts w:ascii="Calibri" w:eastAsia="Calibri" w:hAnsi="Calibri" w:cs="Times New Roman"/>
      <w:sz w:val="20"/>
      <w:szCs w:val="20"/>
    </w:rPr>
  </w:style>
  <w:style w:type="character" w:styleId="Odwoanieprzypisudolnego">
    <w:name w:val="footnote reference"/>
    <w:uiPriority w:val="99"/>
    <w:semiHidden/>
    <w:unhideWhenUsed/>
    <w:rsid w:val="00F55570"/>
    <w:rPr>
      <w:vertAlign w:val="superscript"/>
    </w:rPr>
  </w:style>
  <w:style w:type="table" w:styleId="Tabela-Siatka">
    <w:name w:val="Table Grid"/>
    <w:basedOn w:val="Standardowy"/>
    <w:uiPriority w:val="59"/>
    <w:rsid w:val="003213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5E6CA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6CAE"/>
  </w:style>
  <w:style w:type="paragraph" w:styleId="Stopka">
    <w:name w:val="footer"/>
    <w:basedOn w:val="Normalny"/>
    <w:link w:val="StopkaZnak"/>
    <w:uiPriority w:val="99"/>
    <w:unhideWhenUsed/>
    <w:rsid w:val="005E6CA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6CAE"/>
  </w:style>
  <w:style w:type="character" w:styleId="Odwoaniedokomentarza">
    <w:name w:val="annotation reference"/>
    <w:basedOn w:val="Domylnaczcionkaakapitu"/>
    <w:uiPriority w:val="99"/>
    <w:semiHidden/>
    <w:unhideWhenUsed/>
    <w:rsid w:val="007A1E8C"/>
    <w:rPr>
      <w:sz w:val="16"/>
      <w:szCs w:val="16"/>
    </w:rPr>
  </w:style>
  <w:style w:type="paragraph" w:styleId="Tekstkomentarza">
    <w:name w:val="annotation text"/>
    <w:basedOn w:val="Normalny"/>
    <w:link w:val="TekstkomentarzaZnak"/>
    <w:uiPriority w:val="99"/>
    <w:semiHidden/>
    <w:unhideWhenUsed/>
    <w:rsid w:val="007A1E8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A1E8C"/>
    <w:rPr>
      <w:sz w:val="20"/>
      <w:szCs w:val="20"/>
    </w:rPr>
  </w:style>
  <w:style w:type="paragraph" w:styleId="Tematkomentarza">
    <w:name w:val="annotation subject"/>
    <w:basedOn w:val="Tekstkomentarza"/>
    <w:next w:val="Tekstkomentarza"/>
    <w:link w:val="TematkomentarzaZnak"/>
    <w:uiPriority w:val="99"/>
    <w:semiHidden/>
    <w:unhideWhenUsed/>
    <w:rsid w:val="007A1E8C"/>
    <w:rPr>
      <w:b/>
      <w:bCs/>
    </w:rPr>
  </w:style>
  <w:style w:type="character" w:customStyle="1" w:styleId="TematkomentarzaZnak">
    <w:name w:val="Temat komentarza Znak"/>
    <w:basedOn w:val="TekstkomentarzaZnak"/>
    <w:link w:val="Tematkomentarza"/>
    <w:uiPriority w:val="99"/>
    <w:semiHidden/>
    <w:rsid w:val="007A1E8C"/>
    <w:rPr>
      <w:b/>
      <w:bCs/>
      <w:sz w:val="20"/>
      <w:szCs w:val="20"/>
    </w:rPr>
  </w:style>
  <w:style w:type="paragraph" w:styleId="Tekstdymka">
    <w:name w:val="Balloon Text"/>
    <w:basedOn w:val="Normalny"/>
    <w:link w:val="TekstdymkaZnak"/>
    <w:uiPriority w:val="99"/>
    <w:semiHidden/>
    <w:unhideWhenUsed/>
    <w:rsid w:val="007A1E8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A1E8C"/>
    <w:rPr>
      <w:rFonts w:ascii="Tahoma" w:hAnsi="Tahoma" w:cs="Tahoma"/>
      <w:sz w:val="16"/>
      <w:szCs w:val="16"/>
    </w:rPr>
  </w:style>
  <w:style w:type="character" w:styleId="Hipercze">
    <w:name w:val="Hyperlink"/>
    <w:basedOn w:val="Domylnaczcionkaakapitu"/>
    <w:uiPriority w:val="99"/>
    <w:semiHidden/>
    <w:unhideWhenUsed/>
    <w:rsid w:val="00D63BA2"/>
    <w:rPr>
      <w:color w:val="0000FF"/>
      <w:u w:val="single"/>
    </w:rPr>
  </w:style>
</w:styles>
</file>

<file path=word/webSettings.xml><?xml version="1.0" encoding="utf-8"?>
<w:webSettings xmlns:r="http://schemas.openxmlformats.org/officeDocument/2006/relationships" xmlns:w="http://schemas.openxmlformats.org/wordprocessingml/2006/main">
  <w:divs>
    <w:div w:id="742529536">
      <w:bodyDiv w:val="1"/>
      <w:marLeft w:val="0"/>
      <w:marRight w:val="0"/>
      <w:marTop w:val="0"/>
      <w:marBottom w:val="0"/>
      <w:divBdr>
        <w:top w:val="none" w:sz="0" w:space="0" w:color="auto"/>
        <w:left w:val="none" w:sz="0" w:space="0" w:color="auto"/>
        <w:bottom w:val="none" w:sz="0" w:space="0" w:color="auto"/>
        <w:right w:val="none" w:sz="0" w:space="0" w:color="auto"/>
      </w:divBdr>
    </w:div>
    <w:div w:id="948463872">
      <w:bodyDiv w:val="1"/>
      <w:marLeft w:val="0"/>
      <w:marRight w:val="0"/>
      <w:marTop w:val="0"/>
      <w:marBottom w:val="0"/>
      <w:divBdr>
        <w:top w:val="none" w:sz="0" w:space="0" w:color="auto"/>
        <w:left w:val="none" w:sz="0" w:space="0" w:color="auto"/>
        <w:bottom w:val="none" w:sz="0" w:space="0" w:color="auto"/>
        <w:right w:val="none" w:sz="0" w:space="0" w:color="auto"/>
      </w:divBdr>
    </w:div>
    <w:div w:id="1096632428">
      <w:bodyDiv w:val="1"/>
      <w:marLeft w:val="0"/>
      <w:marRight w:val="0"/>
      <w:marTop w:val="0"/>
      <w:marBottom w:val="0"/>
      <w:divBdr>
        <w:top w:val="none" w:sz="0" w:space="0" w:color="auto"/>
        <w:left w:val="none" w:sz="0" w:space="0" w:color="auto"/>
        <w:bottom w:val="none" w:sz="0" w:space="0" w:color="auto"/>
        <w:right w:val="none" w:sz="0" w:space="0" w:color="auto"/>
      </w:divBdr>
    </w:div>
    <w:div w:id="169692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kariera.forbes.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irma.egospodarka.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ynagrodzenia.pl" TargetMode="External"/><Relationship Id="rId5" Type="http://schemas.openxmlformats.org/officeDocument/2006/relationships/webSettings" Target="webSettings.xml"/><Relationship Id="rId15" Type="http://schemas.openxmlformats.org/officeDocument/2006/relationships/header" Target="header1.xml"/><Relationship Id="rId49" Type="http://schemas.microsoft.com/office/2007/relationships/stylesWithEffects" Target="stylesWithEffect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9C4136-7FF8-45EC-A56A-2E132B66F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9</Pages>
  <Words>3286</Words>
  <Characters>19719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Ola</dc:creator>
  <cp:lastModifiedBy>anikiciuk</cp:lastModifiedBy>
  <cp:revision>74</cp:revision>
  <cp:lastPrinted>2015-10-06T10:58:00Z</cp:lastPrinted>
  <dcterms:created xsi:type="dcterms:W3CDTF">2015-09-30T06:25:00Z</dcterms:created>
  <dcterms:modified xsi:type="dcterms:W3CDTF">2015-10-06T11:05:00Z</dcterms:modified>
</cp:coreProperties>
</file>