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6E8" w:rsidRDefault="005E6CAE" w:rsidP="00BF74B4">
      <w:pPr>
        <w:tabs>
          <w:tab w:val="left" w:pos="1260"/>
          <w:tab w:val="left" w:pos="3720"/>
        </w:tabs>
      </w:pPr>
      <w:r>
        <w:tab/>
      </w:r>
      <w:r w:rsidR="00BF74B4">
        <w:tab/>
      </w:r>
    </w:p>
    <w:p w:rsidR="004F5354" w:rsidRDefault="004F5354"/>
    <w:p w:rsidR="004F5354" w:rsidRDefault="004F5354"/>
    <w:p w:rsidR="00241EF9" w:rsidRDefault="00241EF9" w:rsidP="00BD2533">
      <w:pPr>
        <w:jc w:val="center"/>
        <w:rPr>
          <w:b/>
          <w:sz w:val="40"/>
          <w:szCs w:val="40"/>
        </w:rPr>
      </w:pPr>
    </w:p>
    <w:p w:rsidR="00241EF9" w:rsidRDefault="00241EF9" w:rsidP="00BD2533">
      <w:pPr>
        <w:jc w:val="center"/>
        <w:rPr>
          <w:b/>
          <w:sz w:val="40"/>
          <w:szCs w:val="40"/>
        </w:rPr>
      </w:pPr>
    </w:p>
    <w:p w:rsidR="00E12C18" w:rsidRDefault="00E12C18" w:rsidP="00BD2533">
      <w:pPr>
        <w:jc w:val="center"/>
        <w:rPr>
          <w:sz w:val="24"/>
          <w:szCs w:val="24"/>
        </w:rPr>
      </w:pPr>
      <w:r w:rsidRPr="00E12C18">
        <w:rPr>
          <w:b/>
          <w:sz w:val="40"/>
          <w:szCs w:val="40"/>
        </w:rPr>
        <w:t>Wykaz dopuszczalnych stawek dla towarów i usług</w:t>
      </w:r>
    </w:p>
    <w:p w:rsidR="00E12C18" w:rsidRDefault="00E12C18" w:rsidP="002D0C62">
      <w:pPr>
        <w:jc w:val="center"/>
        <w:rPr>
          <w:b/>
          <w:sz w:val="40"/>
          <w:szCs w:val="40"/>
        </w:rPr>
      </w:pPr>
      <w:r>
        <w:rPr>
          <w:b/>
          <w:sz w:val="40"/>
          <w:szCs w:val="40"/>
        </w:rPr>
        <w:t>tzw. „taryfikator cenowy”</w:t>
      </w:r>
    </w:p>
    <w:p w:rsidR="002D0C62" w:rsidRPr="00E12C18" w:rsidRDefault="00E12C18" w:rsidP="002D0C62">
      <w:pPr>
        <w:jc w:val="center"/>
        <w:rPr>
          <w:sz w:val="40"/>
          <w:szCs w:val="40"/>
        </w:rPr>
      </w:pPr>
      <w:r w:rsidRPr="00E12C18">
        <w:rPr>
          <w:sz w:val="40"/>
          <w:szCs w:val="40"/>
        </w:rPr>
        <w:t xml:space="preserve">stosowany dla </w:t>
      </w:r>
      <w:r w:rsidR="00306CF7" w:rsidRPr="00E12C18">
        <w:rPr>
          <w:sz w:val="40"/>
          <w:szCs w:val="40"/>
        </w:rPr>
        <w:t>projekt</w:t>
      </w:r>
      <w:r w:rsidR="00306CF7">
        <w:rPr>
          <w:sz w:val="40"/>
          <w:szCs w:val="40"/>
        </w:rPr>
        <w:t>u</w:t>
      </w:r>
      <w:r w:rsidR="00306CF7" w:rsidRPr="00E12C18">
        <w:rPr>
          <w:sz w:val="40"/>
          <w:szCs w:val="40"/>
        </w:rPr>
        <w:t xml:space="preserve"> </w:t>
      </w:r>
      <w:r w:rsidR="00306CF7">
        <w:rPr>
          <w:sz w:val="40"/>
          <w:szCs w:val="40"/>
        </w:rPr>
        <w:t xml:space="preserve">pozakonkursowego EURES </w:t>
      </w:r>
      <w:r w:rsidR="00306CF7" w:rsidRPr="00E12C18">
        <w:rPr>
          <w:sz w:val="40"/>
          <w:szCs w:val="40"/>
        </w:rPr>
        <w:t>realizowan</w:t>
      </w:r>
      <w:r w:rsidR="00306CF7">
        <w:rPr>
          <w:sz w:val="40"/>
          <w:szCs w:val="40"/>
        </w:rPr>
        <w:t>ego</w:t>
      </w:r>
      <w:r w:rsidR="00306CF7" w:rsidRPr="00E12C18">
        <w:rPr>
          <w:sz w:val="40"/>
          <w:szCs w:val="40"/>
        </w:rPr>
        <w:t xml:space="preserve"> </w:t>
      </w:r>
      <w:r w:rsidRPr="00E12C18">
        <w:rPr>
          <w:sz w:val="40"/>
          <w:szCs w:val="40"/>
        </w:rPr>
        <w:t xml:space="preserve">w ramach </w:t>
      </w:r>
      <w:r w:rsidRPr="00E12C18">
        <w:rPr>
          <w:i/>
          <w:sz w:val="40"/>
          <w:szCs w:val="40"/>
        </w:rPr>
        <w:t>Regionalnego Programu Operacyjnego Województwa Dolnośląskiego 2014-2020</w:t>
      </w:r>
    </w:p>
    <w:p w:rsidR="002D0C62" w:rsidRPr="00E12C18" w:rsidRDefault="00E12C18" w:rsidP="002D0C62">
      <w:pPr>
        <w:jc w:val="center"/>
        <w:rPr>
          <w:sz w:val="40"/>
          <w:szCs w:val="40"/>
        </w:rPr>
      </w:pPr>
      <w:r>
        <w:rPr>
          <w:sz w:val="40"/>
          <w:szCs w:val="40"/>
        </w:rPr>
        <w:t>Działanie</w:t>
      </w:r>
      <w:r w:rsidR="002D0C62" w:rsidRPr="00E12C18">
        <w:rPr>
          <w:sz w:val="40"/>
          <w:szCs w:val="40"/>
        </w:rPr>
        <w:t xml:space="preserve"> </w:t>
      </w:r>
      <w:r w:rsidR="00E548DC">
        <w:rPr>
          <w:sz w:val="40"/>
          <w:szCs w:val="40"/>
        </w:rPr>
        <w:t>8.2</w:t>
      </w:r>
      <w:r w:rsidR="002D0C62" w:rsidRPr="00E12C18">
        <w:rPr>
          <w:sz w:val="40"/>
          <w:szCs w:val="40"/>
        </w:rPr>
        <w:t xml:space="preserve"> </w:t>
      </w:r>
      <w:r w:rsidR="00E548DC">
        <w:rPr>
          <w:sz w:val="40"/>
          <w:szCs w:val="40"/>
        </w:rPr>
        <w:t>Wsparcie osób poszukujących pracy</w:t>
      </w:r>
    </w:p>
    <w:p w:rsidR="004F5354" w:rsidRPr="00E12C18" w:rsidRDefault="004F5354" w:rsidP="004F5354">
      <w:pPr>
        <w:jc w:val="center"/>
      </w:pPr>
    </w:p>
    <w:p w:rsidR="004F5354" w:rsidRPr="003F443F" w:rsidRDefault="004F5354" w:rsidP="004F5354">
      <w:pPr>
        <w:jc w:val="center"/>
      </w:pPr>
    </w:p>
    <w:p w:rsidR="004F5354" w:rsidRPr="003F443F" w:rsidRDefault="004F5354" w:rsidP="004F5354">
      <w:pPr>
        <w:jc w:val="center"/>
      </w:pPr>
    </w:p>
    <w:p w:rsidR="004F5354" w:rsidRPr="003F443F" w:rsidRDefault="004F5354" w:rsidP="004F5354">
      <w:pPr>
        <w:jc w:val="center"/>
      </w:pPr>
    </w:p>
    <w:p w:rsidR="00BF74B4" w:rsidRPr="003F443F" w:rsidRDefault="00BF74B4" w:rsidP="004F5354">
      <w:pPr>
        <w:jc w:val="center"/>
      </w:pPr>
    </w:p>
    <w:p w:rsidR="004F5354" w:rsidRPr="003F443F" w:rsidRDefault="004F5354" w:rsidP="004F5354">
      <w:pPr>
        <w:jc w:val="center"/>
      </w:pPr>
    </w:p>
    <w:p w:rsidR="004F5354" w:rsidRPr="003F443F" w:rsidRDefault="004F5354" w:rsidP="005E6CAE"/>
    <w:p w:rsidR="004F5354" w:rsidRPr="003F443F" w:rsidRDefault="004F5354" w:rsidP="004F5354">
      <w:pPr>
        <w:jc w:val="center"/>
      </w:pPr>
    </w:p>
    <w:p w:rsidR="004F5354" w:rsidRPr="003F443F" w:rsidRDefault="004F5354" w:rsidP="004F5354">
      <w:pPr>
        <w:jc w:val="center"/>
      </w:pPr>
    </w:p>
    <w:p w:rsidR="00A471EA" w:rsidRDefault="00A471EA" w:rsidP="00E12C18"/>
    <w:p w:rsidR="00BD2533" w:rsidRDefault="00BD2533" w:rsidP="00E12C18"/>
    <w:p w:rsidR="00BD2533" w:rsidRDefault="00BD2533" w:rsidP="00E12C18"/>
    <w:p w:rsidR="00BD2533" w:rsidRDefault="00BD2533" w:rsidP="00E12C18"/>
    <w:p w:rsidR="00BD2533" w:rsidRPr="003F443F" w:rsidRDefault="00BD2533" w:rsidP="00E12C18"/>
    <w:p w:rsidR="004F5354" w:rsidRPr="003F443F" w:rsidRDefault="005564AA" w:rsidP="004F5354">
      <w:pPr>
        <w:jc w:val="center"/>
      </w:pPr>
      <w:r w:rsidRPr="003F443F">
        <w:t>Wrocław</w:t>
      </w:r>
      <w:r w:rsidR="004F5354" w:rsidRPr="003F443F">
        <w:t xml:space="preserve">, </w:t>
      </w:r>
      <w:r w:rsidR="00DF44ED">
        <w:rPr>
          <w:color w:val="000000" w:themeColor="text1"/>
        </w:rPr>
        <w:t>04.02.</w:t>
      </w:r>
      <w:r w:rsidR="00306CF7" w:rsidRPr="00DC7982">
        <w:rPr>
          <w:color w:val="FF0000"/>
        </w:rPr>
        <w:t xml:space="preserve"> </w:t>
      </w:r>
      <w:r w:rsidR="00AD0BDB" w:rsidRPr="003F443F">
        <w:t>201</w:t>
      </w:r>
      <w:r w:rsidR="00AD0BDB">
        <w:t>6</w:t>
      </w:r>
      <w:r w:rsidR="00AD0BDB" w:rsidRPr="003F443F">
        <w:t xml:space="preserve"> </w:t>
      </w:r>
      <w:r w:rsidR="00E548DC" w:rsidRPr="003F443F">
        <w:t>r</w:t>
      </w:r>
      <w:r w:rsidR="00E548DC">
        <w:t>.</w:t>
      </w:r>
    </w:p>
    <w:p w:rsidR="000C0F33" w:rsidRDefault="000C0F33" w:rsidP="004F5354">
      <w:pPr>
        <w:jc w:val="both"/>
        <w:rPr>
          <w:color w:val="FF0000"/>
          <w:sz w:val="24"/>
          <w:szCs w:val="24"/>
          <w:u w:val="single"/>
        </w:rPr>
      </w:pPr>
    </w:p>
    <w:p w:rsidR="00E12C18" w:rsidRDefault="00E12C18" w:rsidP="00567364">
      <w:pPr>
        <w:rPr>
          <w:b/>
          <w:sz w:val="24"/>
          <w:szCs w:val="24"/>
          <w:u w:val="single"/>
        </w:rPr>
      </w:pPr>
    </w:p>
    <w:p w:rsidR="00E12C18" w:rsidRDefault="00E12C18" w:rsidP="00E12C18">
      <w:pPr>
        <w:jc w:val="center"/>
        <w:rPr>
          <w:b/>
          <w:sz w:val="24"/>
          <w:szCs w:val="24"/>
          <w:u w:val="single"/>
        </w:rPr>
      </w:pPr>
    </w:p>
    <w:p w:rsidR="00BD2533" w:rsidRDefault="00BD2533" w:rsidP="00BD2533">
      <w:pPr>
        <w:rPr>
          <w:b/>
          <w:sz w:val="24"/>
          <w:szCs w:val="24"/>
          <w:u w:val="single"/>
        </w:rPr>
      </w:pPr>
    </w:p>
    <w:p w:rsidR="004F5354" w:rsidRPr="00373A17" w:rsidRDefault="004F5354" w:rsidP="00E12C18">
      <w:pPr>
        <w:jc w:val="center"/>
        <w:rPr>
          <w:b/>
          <w:sz w:val="28"/>
          <w:szCs w:val="28"/>
          <w:u w:val="single"/>
        </w:rPr>
      </w:pPr>
      <w:r w:rsidRPr="00373A17">
        <w:rPr>
          <w:b/>
          <w:sz w:val="28"/>
          <w:szCs w:val="28"/>
          <w:u w:val="single"/>
        </w:rPr>
        <w:t>Regulacje ogólne:</w:t>
      </w:r>
    </w:p>
    <w:p w:rsidR="00FA6A50" w:rsidRDefault="00FA6A50" w:rsidP="004F5354">
      <w:pPr>
        <w:jc w:val="both"/>
        <w:rPr>
          <w:sz w:val="24"/>
          <w:szCs w:val="24"/>
          <w:u w:val="single"/>
        </w:rPr>
      </w:pPr>
    </w:p>
    <w:p w:rsidR="004742E2" w:rsidRPr="003F443F" w:rsidRDefault="004742E2" w:rsidP="004F5354">
      <w:pPr>
        <w:jc w:val="both"/>
        <w:rPr>
          <w:sz w:val="24"/>
          <w:szCs w:val="24"/>
          <w:u w:val="single"/>
        </w:rPr>
      </w:pPr>
    </w:p>
    <w:p w:rsidR="00FA6A50" w:rsidRDefault="004F5354" w:rsidP="00E12C18">
      <w:pPr>
        <w:pStyle w:val="Akapitzlist"/>
        <w:numPr>
          <w:ilvl w:val="0"/>
          <w:numId w:val="1"/>
        </w:numPr>
        <w:spacing w:before="240" w:line="240" w:lineRule="auto"/>
        <w:ind w:left="714" w:hanging="357"/>
        <w:jc w:val="both"/>
        <w:rPr>
          <w:sz w:val="24"/>
          <w:szCs w:val="24"/>
        </w:rPr>
      </w:pPr>
      <w:r w:rsidRPr="003F443F">
        <w:rPr>
          <w:i/>
          <w:sz w:val="24"/>
          <w:szCs w:val="24"/>
        </w:rPr>
        <w:t xml:space="preserve">Wykaz </w:t>
      </w:r>
      <w:r w:rsidR="007A1E8C" w:rsidRPr="003F443F">
        <w:rPr>
          <w:i/>
          <w:sz w:val="24"/>
          <w:szCs w:val="24"/>
        </w:rPr>
        <w:t>dopuszczalnych</w:t>
      </w:r>
      <w:r w:rsidRPr="003F443F">
        <w:rPr>
          <w:i/>
          <w:sz w:val="24"/>
          <w:szCs w:val="24"/>
        </w:rPr>
        <w:t xml:space="preserve"> stawek dla towaró</w:t>
      </w:r>
      <w:r w:rsidR="00FA6A50" w:rsidRPr="003F443F">
        <w:rPr>
          <w:i/>
          <w:sz w:val="24"/>
          <w:szCs w:val="24"/>
        </w:rPr>
        <w:t>w i usług</w:t>
      </w:r>
      <w:r w:rsidR="00FA6A50" w:rsidRPr="003F443F">
        <w:rPr>
          <w:sz w:val="24"/>
          <w:szCs w:val="24"/>
        </w:rPr>
        <w:t xml:space="preserve"> </w:t>
      </w:r>
      <w:r w:rsidRPr="003F443F">
        <w:rPr>
          <w:sz w:val="24"/>
          <w:szCs w:val="24"/>
        </w:rPr>
        <w:t>określa najczęściej występujące koszty w projektach finansowanych z EFS</w:t>
      </w:r>
      <w:r w:rsidR="00E12C18">
        <w:rPr>
          <w:sz w:val="24"/>
          <w:szCs w:val="24"/>
        </w:rPr>
        <w:t xml:space="preserve"> w ramach programu regionalnego</w:t>
      </w:r>
      <w:r w:rsidRPr="003F443F">
        <w:rPr>
          <w:sz w:val="24"/>
          <w:szCs w:val="24"/>
        </w:rPr>
        <w:t>.</w:t>
      </w:r>
    </w:p>
    <w:p w:rsidR="00E12C18" w:rsidRPr="003F443F" w:rsidRDefault="00E12C18" w:rsidP="00E12C18">
      <w:pPr>
        <w:pStyle w:val="Akapitzlist"/>
        <w:spacing w:before="240" w:line="240" w:lineRule="auto"/>
        <w:ind w:left="714"/>
        <w:jc w:val="both"/>
        <w:rPr>
          <w:sz w:val="24"/>
          <w:szCs w:val="24"/>
        </w:rPr>
      </w:pPr>
    </w:p>
    <w:p w:rsidR="00E12C18" w:rsidRPr="00E12C18" w:rsidRDefault="00FA6A50" w:rsidP="00E12C18">
      <w:pPr>
        <w:pStyle w:val="Akapitzlist"/>
        <w:numPr>
          <w:ilvl w:val="0"/>
          <w:numId w:val="1"/>
        </w:numPr>
        <w:spacing w:line="240" w:lineRule="auto"/>
        <w:ind w:left="714" w:hanging="357"/>
        <w:jc w:val="both"/>
        <w:rPr>
          <w:sz w:val="24"/>
          <w:szCs w:val="24"/>
        </w:rPr>
      </w:pPr>
      <w:r w:rsidRPr="003F443F">
        <w:rPr>
          <w:sz w:val="24"/>
          <w:szCs w:val="24"/>
        </w:rPr>
        <w:t xml:space="preserve">Przyjęcie </w:t>
      </w:r>
      <w:r w:rsidR="007A1E8C" w:rsidRPr="003F443F">
        <w:rPr>
          <w:sz w:val="24"/>
          <w:szCs w:val="24"/>
        </w:rPr>
        <w:t xml:space="preserve">dopuszczalnej </w:t>
      </w:r>
      <w:r w:rsidRPr="003F443F">
        <w:rPr>
          <w:sz w:val="24"/>
          <w:szCs w:val="24"/>
        </w:rPr>
        <w:t xml:space="preserve">stawki nie oznacza, że będzie </w:t>
      </w:r>
      <w:r w:rsidR="00BD2533">
        <w:rPr>
          <w:sz w:val="24"/>
          <w:szCs w:val="24"/>
        </w:rPr>
        <w:t xml:space="preserve">ona </w:t>
      </w:r>
      <w:r w:rsidRPr="003F443F">
        <w:rPr>
          <w:sz w:val="24"/>
          <w:szCs w:val="24"/>
        </w:rPr>
        <w:t>akceptowana w każdym budżecie – przy ocenie będą brane pod uwagę takie czynniki jak:</w:t>
      </w:r>
      <w:r w:rsidR="004C6CD0" w:rsidRPr="003F443F">
        <w:rPr>
          <w:sz w:val="24"/>
          <w:szCs w:val="24"/>
        </w:rPr>
        <w:t xml:space="preserve"> specyfika projektu,</w:t>
      </w:r>
      <w:r w:rsidR="0053796A" w:rsidRPr="003F443F">
        <w:rPr>
          <w:sz w:val="24"/>
          <w:szCs w:val="24"/>
        </w:rPr>
        <w:t xml:space="preserve"> stopień złożoności projektu</w:t>
      </w:r>
      <w:r w:rsidRPr="003F443F">
        <w:rPr>
          <w:sz w:val="24"/>
          <w:szCs w:val="24"/>
        </w:rPr>
        <w:t>, wielkość grupy docelowej, miejsce realizacji</w:t>
      </w:r>
      <w:r w:rsidR="00101CA4">
        <w:rPr>
          <w:sz w:val="24"/>
          <w:szCs w:val="24"/>
        </w:rPr>
        <w:t xml:space="preserve"> projektu</w:t>
      </w:r>
      <w:r w:rsidRPr="003F443F">
        <w:rPr>
          <w:sz w:val="24"/>
          <w:szCs w:val="24"/>
        </w:rPr>
        <w:t>.</w:t>
      </w:r>
    </w:p>
    <w:p w:rsidR="00E12C18" w:rsidRPr="003F443F" w:rsidRDefault="00E12C18" w:rsidP="00E12C18">
      <w:pPr>
        <w:pStyle w:val="Akapitzlist"/>
        <w:spacing w:line="240" w:lineRule="auto"/>
        <w:ind w:left="714"/>
        <w:jc w:val="both"/>
        <w:rPr>
          <w:sz w:val="24"/>
          <w:szCs w:val="24"/>
        </w:rPr>
      </w:pPr>
    </w:p>
    <w:p w:rsidR="00FA6A50" w:rsidRDefault="00FA6A50" w:rsidP="00E12C18">
      <w:pPr>
        <w:pStyle w:val="Akapitzlist"/>
        <w:numPr>
          <w:ilvl w:val="0"/>
          <w:numId w:val="1"/>
        </w:numPr>
        <w:spacing w:line="240" w:lineRule="auto"/>
        <w:ind w:left="714" w:hanging="357"/>
        <w:jc w:val="both"/>
        <w:rPr>
          <w:sz w:val="24"/>
          <w:szCs w:val="24"/>
        </w:rPr>
      </w:pPr>
      <w:r w:rsidRPr="003F443F">
        <w:rPr>
          <w:sz w:val="24"/>
          <w:szCs w:val="24"/>
        </w:rPr>
        <w:t>W pr</w:t>
      </w:r>
      <w:r w:rsidR="008F59AF" w:rsidRPr="003F443F">
        <w:rPr>
          <w:sz w:val="24"/>
          <w:szCs w:val="24"/>
        </w:rPr>
        <w:t>zypadku przekroczenia ww. stawki</w:t>
      </w:r>
      <w:r w:rsidRPr="003F443F">
        <w:rPr>
          <w:sz w:val="24"/>
          <w:szCs w:val="24"/>
        </w:rPr>
        <w:t xml:space="preserve"> Beneficjent jest zobowiązany do zawar</w:t>
      </w:r>
      <w:r w:rsidR="00C5021E" w:rsidRPr="003F443F">
        <w:rPr>
          <w:sz w:val="24"/>
          <w:szCs w:val="24"/>
        </w:rPr>
        <w:t xml:space="preserve">cia </w:t>
      </w:r>
      <w:r w:rsidR="002A4A90">
        <w:rPr>
          <w:sz w:val="24"/>
          <w:szCs w:val="24"/>
        </w:rPr>
        <w:br/>
      </w:r>
      <w:r w:rsidR="00C5021E" w:rsidRPr="003F443F">
        <w:rPr>
          <w:sz w:val="24"/>
          <w:szCs w:val="24"/>
        </w:rPr>
        <w:t xml:space="preserve">we wniosku o dofinansowanie / wniosku o płatność </w:t>
      </w:r>
      <w:r w:rsidRPr="003F443F">
        <w:rPr>
          <w:sz w:val="24"/>
          <w:szCs w:val="24"/>
        </w:rPr>
        <w:t>uzasadnienia zaistniałej sytuacji.</w:t>
      </w:r>
    </w:p>
    <w:p w:rsidR="00E12C18" w:rsidRDefault="00E12C18" w:rsidP="00E12C18">
      <w:pPr>
        <w:pStyle w:val="Akapitzlist"/>
        <w:spacing w:line="240" w:lineRule="auto"/>
        <w:ind w:left="714"/>
        <w:jc w:val="both"/>
        <w:rPr>
          <w:sz w:val="24"/>
          <w:szCs w:val="24"/>
        </w:rPr>
      </w:pPr>
    </w:p>
    <w:p w:rsidR="00E12C18" w:rsidRPr="00E12C18" w:rsidRDefault="00F944F3" w:rsidP="00E12C18">
      <w:pPr>
        <w:pStyle w:val="Akapitzlist"/>
        <w:numPr>
          <w:ilvl w:val="0"/>
          <w:numId w:val="1"/>
        </w:numPr>
        <w:spacing w:line="240" w:lineRule="auto"/>
        <w:ind w:left="714" w:hanging="357"/>
        <w:jc w:val="both"/>
        <w:rPr>
          <w:sz w:val="24"/>
          <w:szCs w:val="24"/>
        </w:rPr>
      </w:pPr>
      <w:r w:rsidRPr="00F944F3">
        <w:rPr>
          <w:sz w:val="24"/>
          <w:szCs w:val="24"/>
        </w:rPr>
        <w:t>Wprowadzenie katalogu maksymalnych dopuszczalnych stawek nie oznacza automatycznego akceptowania przez oceniających stawek w ich maksymalnie dopuszczonej wysokości. Oceniający każdorazowo zobowiązani są do weryfikacji kosztów zgodnie z zasadą efektywnego zarządzania finansami.</w:t>
      </w:r>
      <w:r w:rsidR="00E12C18" w:rsidRPr="00E12C18">
        <w:rPr>
          <w:sz w:val="24"/>
          <w:szCs w:val="24"/>
        </w:rPr>
        <w:br/>
      </w:r>
    </w:p>
    <w:p w:rsidR="00E12C18" w:rsidRPr="00E12C18" w:rsidRDefault="00FA6A50" w:rsidP="00E12C18">
      <w:pPr>
        <w:pStyle w:val="Akapitzlist"/>
        <w:numPr>
          <w:ilvl w:val="0"/>
          <w:numId w:val="1"/>
        </w:numPr>
        <w:spacing w:line="240" w:lineRule="auto"/>
        <w:ind w:left="714" w:hanging="357"/>
        <w:jc w:val="both"/>
        <w:rPr>
          <w:sz w:val="24"/>
          <w:szCs w:val="24"/>
        </w:rPr>
      </w:pPr>
      <w:r w:rsidRPr="003F443F">
        <w:rPr>
          <w:sz w:val="24"/>
          <w:szCs w:val="24"/>
        </w:rPr>
        <w:t>Jeśli koszt nie został ujęty w katalogu</w:t>
      </w:r>
      <w:r w:rsidR="00373A17">
        <w:rPr>
          <w:sz w:val="24"/>
          <w:szCs w:val="24"/>
        </w:rPr>
        <w:t>,</w:t>
      </w:r>
      <w:r w:rsidRPr="003F443F">
        <w:rPr>
          <w:sz w:val="24"/>
          <w:szCs w:val="24"/>
        </w:rPr>
        <w:t xml:space="preserve"> istnieje możliwość odniesienia się do ce</w:t>
      </w:r>
      <w:r w:rsidR="00E12C18">
        <w:rPr>
          <w:sz w:val="24"/>
          <w:szCs w:val="24"/>
        </w:rPr>
        <w:t>ny podobnej kategorii kosztowej.</w:t>
      </w:r>
    </w:p>
    <w:p w:rsidR="00E12C18" w:rsidRPr="003F443F" w:rsidRDefault="00E12C18" w:rsidP="00E12C18">
      <w:pPr>
        <w:pStyle w:val="Akapitzlist"/>
        <w:spacing w:line="240" w:lineRule="auto"/>
        <w:ind w:left="714"/>
        <w:jc w:val="both"/>
        <w:rPr>
          <w:sz w:val="24"/>
          <w:szCs w:val="24"/>
        </w:rPr>
      </w:pPr>
    </w:p>
    <w:p w:rsidR="00FA6A50" w:rsidRDefault="00FA6A50" w:rsidP="00E12C18">
      <w:pPr>
        <w:pStyle w:val="Akapitzlist"/>
        <w:numPr>
          <w:ilvl w:val="0"/>
          <w:numId w:val="1"/>
        </w:numPr>
        <w:spacing w:line="240" w:lineRule="auto"/>
        <w:ind w:left="714" w:hanging="357"/>
        <w:jc w:val="both"/>
        <w:rPr>
          <w:sz w:val="24"/>
          <w:szCs w:val="24"/>
        </w:rPr>
      </w:pPr>
      <w:r w:rsidRPr="003F443F">
        <w:rPr>
          <w:i/>
          <w:sz w:val="24"/>
          <w:szCs w:val="24"/>
        </w:rPr>
        <w:t>Wykaz</w:t>
      </w:r>
      <w:r w:rsidRPr="003F443F">
        <w:rPr>
          <w:sz w:val="24"/>
          <w:szCs w:val="24"/>
        </w:rPr>
        <w:t xml:space="preserve"> </w:t>
      </w:r>
      <w:r w:rsidR="007A1E8C" w:rsidRPr="003F443F">
        <w:rPr>
          <w:i/>
          <w:sz w:val="24"/>
          <w:szCs w:val="24"/>
        </w:rPr>
        <w:t>dopuszczalnych</w:t>
      </w:r>
      <w:r w:rsidR="007B143D" w:rsidRPr="003F443F">
        <w:rPr>
          <w:i/>
          <w:sz w:val="24"/>
          <w:szCs w:val="24"/>
        </w:rPr>
        <w:t xml:space="preserve"> stawek dla towarów i usług</w:t>
      </w:r>
      <w:r w:rsidR="007B143D" w:rsidRPr="003F443F">
        <w:rPr>
          <w:sz w:val="24"/>
          <w:szCs w:val="24"/>
        </w:rPr>
        <w:t xml:space="preserve"> </w:t>
      </w:r>
      <w:r w:rsidR="001A3E1F" w:rsidRPr="003F443F">
        <w:rPr>
          <w:sz w:val="24"/>
          <w:szCs w:val="24"/>
        </w:rPr>
        <w:t xml:space="preserve">nie stanowi katalogu zamkniętego i </w:t>
      </w:r>
      <w:r w:rsidRPr="003F443F">
        <w:rPr>
          <w:sz w:val="24"/>
          <w:szCs w:val="24"/>
        </w:rPr>
        <w:t>może być rozszerzany o nowe pozycje</w:t>
      </w:r>
      <w:r w:rsidR="001A3E1F" w:rsidRPr="003F443F">
        <w:rPr>
          <w:sz w:val="24"/>
          <w:szCs w:val="24"/>
        </w:rPr>
        <w:t xml:space="preserve"> przez Instytucję </w:t>
      </w:r>
      <w:r w:rsidR="00933E07">
        <w:rPr>
          <w:sz w:val="24"/>
          <w:szCs w:val="24"/>
        </w:rPr>
        <w:t>Pośredniczącą</w:t>
      </w:r>
      <w:r w:rsidRPr="003F443F">
        <w:rPr>
          <w:sz w:val="24"/>
          <w:szCs w:val="24"/>
        </w:rPr>
        <w:t xml:space="preserve">. </w:t>
      </w:r>
      <w:r w:rsidR="00F944F3" w:rsidRPr="00F944F3">
        <w:rPr>
          <w:sz w:val="24"/>
          <w:szCs w:val="24"/>
        </w:rPr>
        <w:t xml:space="preserve">W przypadku wystąpienia w budżecie projektu kosztu spoza katalogu oceniający każdorazowo zobowiązani są do dokonania oceny tego kosztu z perspektywy efektywności </w:t>
      </w:r>
      <w:r w:rsidR="00F944F3">
        <w:rPr>
          <w:sz w:val="24"/>
          <w:szCs w:val="24"/>
        </w:rPr>
        <w:br/>
      </w:r>
      <w:r w:rsidR="00F944F3" w:rsidRPr="00F944F3">
        <w:rPr>
          <w:sz w:val="24"/>
          <w:szCs w:val="24"/>
        </w:rPr>
        <w:t xml:space="preserve">i racjonalności kosztowej, w tym spełniania odpowiedniej relacji </w:t>
      </w:r>
      <w:r w:rsidR="00373A17">
        <w:rPr>
          <w:i/>
          <w:sz w:val="24"/>
          <w:szCs w:val="24"/>
        </w:rPr>
        <w:t xml:space="preserve">nakład – </w:t>
      </w:r>
      <w:r w:rsidR="00F944F3" w:rsidRPr="00373A17">
        <w:rPr>
          <w:i/>
          <w:sz w:val="24"/>
          <w:szCs w:val="24"/>
        </w:rPr>
        <w:t>rezultat</w:t>
      </w:r>
      <w:r w:rsidR="00F944F3">
        <w:rPr>
          <w:sz w:val="24"/>
          <w:szCs w:val="24"/>
        </w:rPr>
        <w:t>.</w:t>
      </w:r>
    </w:p>
    <w:p w:rsidR="00E12C18" w:rsidRDefault="00E12C18" w:rsidP="00E12C18">
      <w:pPr>
        <w:pStyle w:val="Akapitzlist"/>
        <w:spacing w:line="240" w:lineRule="auto"/>
        <w:ind w:left="714"/>
        <w:jc w:val="both"/>
        <w:rPr>
          <w:sz w:val="24"/>
          <w:szCs w:val="24"/>
        </w:rPr>
      </w:pPr>
    </w:p>
    <w:p w:rsidR="00CD33FC" w:rsidRDefault="00F944F3" w:rsidP="00E12C18">
      <w:pPr>
        <w:pStyle w:val="Akapitzlist"/>
        <w:numPr>
          <w:ilvl w:val="0"/>
          <w:numId w:val="1"/>
        </w:numPr>
        <w:spacing w:line="240" w:lineRule="auto"/>
        <w:ind w:left="714" w:hanging="357"/>
        <w:jc w:val="both"/>
        <w:rPr>
          <w:sz w:val="24"/>
          <w:szCs w:val="24"/>
        </w:rPr>
      </w:pPr>
      <w:r w:rsidRPr="00F944F3">
        <w:rPr>
          <w:sz w:val="24"/>
          <w:szCs w:val="24"/>
        </w:rPr>
        <w:t>Katalog ten jest obowiązkowym narzędziem oceny racjonalności i efektywności kosztów</w:t>
      </w:r>
      <w:r>
        <w:rPr>
          <w:sz w:val="24"/>
          <w:szCs w:val="24"/>
        </w:rPr>
        <w:t>.</w:t>
      </w:r>
    </w:p>
    <w:p w:rsidR="00D04F20" w:rsidRPr="00D04F20" w:rsidRDefault="00D04F20" w:rsidP="00D04F20">
      <w:pPr>
        <w:pStyle w:val="Akapitzlist"/>
        <w:rPr>
          <w:sz w:val="24"/>
          <w:szCs w:val="24"/>
        </w:rPr>
      </w:pPr>
    </w:p>
    <w:p w:rsidR="00CD33FC" w:rsidRDefault="00CD33FC" w:rsidP="00CD33FC">
      <w:pPr>
        <w:pStyle w:val="Akapitzlist"/>
        <w:spacing w:line="480" w:lineRule="auto"/>
        <w:jc w:val="both"/>
        <w:rPr>
          <w:sz w:val="24"/>
          <w:szCs w:val="24"/>
        </w:rPr>
      </w:pPr>
    </w:p>
    <w:p w:rsidR="00E12C18" w:rsidRDefault="00E12C18" w:rsidP="00CD33FC">
      <w:pPr>
        <w:pStyle w:val="Akapitzlist"/>
        <w:spacing w:line="480" w:lineRule="auto"/>
        <w:jc w:val="both"/>
        <w:rPr>
          <w:sz w:val="24"/>
          <w:szCs w:val="24"/>
        </w:rPr>
      </w:pPr>
    </w:p>
    <w:p w:rsidR="00E12C18" w:rsidRDefault="00E12C18" w:rsidP="00CD33FC">
      <w:pPr>
        <w:pStyle w:val="Akapitzlist"/>
        <w:spacing w:line="480" w:lineRule="auto"/>
        <w:jc w:val="both"/>
        <w:rPr>
          <w:sz w:val="24"/>
          <w:szCs w:val="24"/>
        </w:rPr>
      </w:pPr>
    </w:p>
    <w:p w:rsidR="00E12C18" w:rsidRDefault="00E12C18" w:rsidP="00CD33FC">
      <w:pPr>
        <w:pStyle w:val="Akapitzlist"/>
        <w:spacing w:line="480" w:lineRule="auto"/>
        <w:jc w:val="both"/>
        <w:rPr>
          <w:sz w:val="24"/>
          <w:szCs w:val="24"/>
        </w:rPr>
      </w:pPr>
    </w:p>
    <w:p w:rsidR="006B1827" w:rsidRDefault="006B1827" w:rsidP="002A4A90">
      <w:pPr>
        <w:jc w:val="both"/>
        <w:rPr>
          <w:sz w:val="24"/>
          <w:szCs w:val="24"/>
        </w:rPr>
      </w:pPr>
    </w:p>
    <w:p w:rsidR="005F5C17" w:rsidRDefault="005F5C17" w:rsidP="002A4A90">
      <w:pPr>
        <w:jc w:val="both"/>
        <w:rPr>
          <w:rFonts w:ascii="Calibri" w:hAnsi="Calibri"/>
        </w:rPr>
      </w:pPr>
    </w:p>
    <w:p w:rsidR="006B1827" w:rsidRPr="006B1827" w:rsidRDefault="006B1827" w:rsidP="006B1827">
      <w:pPr>
        <w:jc w:val="center"/>
        <w:rPr>
          <w:rFonts w:ascii="Calibri" w:hAnsi="Calibri"/>
          <w:b/>
          <w:sz w:val="28"/>
        </w:rPr>
      </w:pPr>
      <w:r w:rsidRPr="006B1827">
        <w:rPr>
          <w:rFonts w:ascii="Calibri" w:hAnsi="Calibri"/>
          <w:b/>
          <w:sz w:val="28"/>
        </w:rPr>
        <w:lastRenderedPageBreak/>
        <w:t>STANDARYZACJA USŁUG</w:t>
      </w:r>
    </w:p>
    <w:p w:rsidR="00306CF7" w:rsidRDefault="00306CF7" w:rsidP="00306CF7">
      <w:pPr>
        <w:pStyle w:val="Nagwek2"/>
        <w:spacing w:before="0" w:line="259" w:lineRule="auto"/>
        <w:ind w:left="426" w:hanging="349"/>
        <w:jc w:val="both"/>
        <w:rPr>
          <w:szCs w:val="24"/>
        </w:rPr>
      </w:pPr>
      <w:bookmarkStart w:id="0" w:name="_Toc423324532"/>
    </w:p>
    <w:p w:rsidR="00306CF7" w:rsidRPr="00D62B16" w:rsidRDefault="00EE63CF" w:rsidP="00306CF7">
      <w:pPr>
        <w:pStyle w:val="Nagwek2"/>
        <w:spacing w:before="0" w:line="259" w:lineRule="auto"/>
        <w:ind w:left="426" w:hanging="349"/>
        <w:jc w:val="both"/>
        <w:rPr>
          <w:rFonts w:asciiTheme="minorHAnsi" w:hAnsiTheme="minorHAnsi"/>
          <w:szCs w:val="24"/>
        </w:rPr>
      </w:pPr>
      <w:r w:rsidRPr="00EE63CF">
        <w:rPr>
          <w:rFonts w:asciiTheme="minorHAnsi" w:hAnsiTheme="minorHAnsi"/>
          <w:szCs w:val="24"/>
        </w:rPr>
        <w:t>Wsparcie mobilności geograficznej w ramach sieci EURES</w:t>
      </w:r>
      <w:bookmarkEnd w:id="0"/>
    </w:p>
    <w:p w:rsidR="00306CF7" w:rsidRPr="002B1F53" w:rsidRDefault="00306CF7" w:rsidP="00306CF7">
      <w:pPr>
        <w:spacing w:after="0"/>
        <w:jc w:val="both"/>
        <w:rPr>
          <w:i/>
          <w:sz w:val="24"/>
          <w:szCs w:val="24"/>
        </w:rPr>
      </w:pPr>
    </w:p>
    <w:p w:rsidR="00306CF7" w:rsidRPr="002B1F53" w:rsidRDefault="00306CF7" w:rsidP="00306CF7">
      <w:pPr>
        <w:jc w:val="both"/>
        <w:rPr>
          <w:i/>
          <w:sz w:val="24"/>
          <w:szCs w:val="24"/>
        </w:rPr>
      </w:pPr>
      <w:r w:rsidRPr="002B1F53">
        <w:rPr>
          <w:i/>
          <w:sz w:val="24"/>
          <w:szCs w:val="24"/>
        </w:rPr>
        <w:t xml:space="preserve">Wsparcie mobilności geograficznej w ramach sieci EURES jest realizowane w oparciu </w:t>
      </w:r>
      <w:r w:rsidRPr="002B1F53">
        <w:rPr>
          <w:i/>
          <w:sz w:val="24"/>
          <w:szCs w:val="24"/>
        </w:rPr>
        <w:br/>
        <w:t>o dokument „KARTA EURES” w rozumieniu art. 10  Decyzji Komisji 2012/733/EU</w:t>
      </w:r>
      <w:r w:rsidRPr="002B1F53">
        <w:rPr>
          <w:sz w:val="24"/>
          <w:szCs w:val="24"/>
        </w:rPr>
        <w:t xml:space="preserve">  - </w:t>
      </w:r>
      <w:r w:rsidRPr="002B1F53">
        <w:rPr>
          <w:i/>
          <w:sz w:val="24"/>
          <w:szCs w:val="24"/>
        </w:rPr>
        <w:t>Decyzja Wykonawcza Komisji z dnia 26 listopada 2012r. w sprawie wykonania rozporządzenia Parlamentu Europejskiego i Rady (UE) nr 492/2011 odnośnie do kojarzenia ofert zatrudnienia</w:t>
      </w:r>
      <w:r w:rsidRPr="002B1F53">
        <w:rPr>
          <w:i/>
          <w:sz w:val="24"/>
          <w:szCs w:val="24"/>
        </w:rPr>
        <w:br/>
        <w:t xml:space="preserve"> i wniosków o zatrudnienie oraz ich równoważenia oraz ponownego ustanowienia EURES.</w:t>
      </w:r>
    </w:p>
    <w:p w:rsidR="00306CF7" w:rsidRPr="00D62B16" w:rsidRDefault="00EE63CF" w:rsidP="00306CF7">
      <w:pPr>
        <w:pStyle w:val="Nagwek3"/>
        <w:numPr>
          <w:ilvl w:val="0"/>
          <w:numId w:val="15"/>
        </w:numPr>
        <w:spacing w:before="0"/>
        <w:ind w:left="426"/>
        <w:rPr>
          <w:rFonts w:asciiTheme="minorHAnsi" w:hAnsiTheme="minorHAnsi"/>
        </w:rPr>
      </w:pPr>
      <w:bookmarkStart w:id="1" w:name="_Toc423324533"/>
      <w:r w:rsidRPr="00EE63CF">
        <w:rPr>
          <w:rFonts w:asciiTheme="minorHAnsi" w:hAnsiTheme="minorHAnsi"/>
        </w:rPr>
        <w:t>Wytyczne dotyczące zdolności organizacyjnej i standardów jakości partnerów EURES</w:t>
      </w:r>
      <w:bookmarkEnd w:id="1"/>
      <w:r w:rsidRPr="00EE63CF">
        <w:rPr>
          <w:rFonts w:asciiTheme="minorHAnsi" w:hAnsiTheme="minorHAnsi"/>
        </w:rPr>
        <w:t xml:space="preserve"> </w:t>
      </w:r>
    </w:p>
    <w:p w:rsidR="00306CF7" w:rsidRPr="002B1F53" w:rsidRDefault="00306CF7" w:rsidP="00306CF7">
      <w:pPr>
        <w:spacing w:after="0"/>
        <w:rPr>
          <w:sz w:val="24"/>
          <w:szCs w:val="24"/>
        </w:rPr>
      </w:pPr>
    </w:p>
    <w:p w:rsidR="00306CF7" w:rsidRPr="002B1F53" w:rsidRDefault="00306CF7" w:rsidP="00306CF7">
      <w:pPr>
        <w:pStyle w:val="Akapitzlist"/>
        <w:numPr>
          <w:ilvl w:val="0"/>
          <w:numId w:val="19"/>
        </w:numPr>
        <w:spacing w:after="0" w:line="240" w:lineRule="auto"/>
        <w:jc w:val="both"/>
        <w:rPr>
          <w:sz w:val="24"/>
          <w:szCs w:val="24"/>
        </w:rPr>
      </w:pPr>
      <w:r w:rsidRPr="002B1F53">
        <w:rPr>
          <w:sz w:val="24"/>
          <w:szCs w:val="24"/>
        </w:rPr>
        <w:t xml:space="preserve">Zdolność do pełnego uczestniczenia w wymianie wolnych miejsc pracy i wniosków </w:t>
      </w:r>
      <w:r w:rsidRPr="002B1F53">
        <w:rPr>
          <w:sz w:val="24"/>
          <w:szCs w:val="24"/>
        </w:rPr>
        <w:br/>
        <w:t xml:space="preserve">o zatrudnienie osób poszukujących pracy zainteresowanych pracą w innym państwie członkowskim, zgodnie z art. 13 lit. a) i b) rozporządzenia (Rozporządzenie Parlamentu Europejskiego i Rady (UE) nr 492/2011 z dnia 5 kwietnia 2011r. </w:t>
      </w:r>
      <w:r w:rsidRPr="002B1F53">
        <w:rPr>
          <w:sz w:val="24"/>
          <w:szCs w:val="24"/>
        </w:rPr>
        <w:br/>
        <w:t xml:space="preserve">w sprawie swobodnego przepływu pracowników wewnątrz Unii, DZ. Urz. UE L 141, </w:t>
      </w:r>
      <w:r w:rsidRPr="002B1F53">
        <w:rPr>
          <w:sz w:val="24"/>
          <w:szCs w:val="24"/>
        </w:rPr>
        <w:br/>
        <w:t xml:space="preserve">z dn. 27.05.2011, str. 1), co oznacza zdolność do zapewnienia terminowej i rzetelnej dostawy danych na portal EURES zgodnie z ustalonymi protokołami wymiany, podlegającymi właściwej weryfikacji; </w:t>
      </w:r>
    </w:p>
    <w:p w:rsidR="00306CF7" w:rsidRPr="002B1F53" w:rsidRDefault="00306CF7" w:rsidP="00306CF7">
      <w:pPr>
        <w:pStyle w:val="Akapitzlist"/>
        <w:numPr>
          <w:ilvl w:val="0"/>
          <w:numId w:val="20"/>
        </w:numPr>
        <w:spacing w:after="0" w:line="240" w:lineRule="auto"/>
        <w:jc w:val="both"/>
        <w:rPr>
          <w:sz w:val="24"/>
          <w:szCs w:val="24"/>
        </w:rPr>
      </w:pPr>
      <w:r w:rsidRPr="002B1F53">
        <w:rPr>
          <w:sz w:val="24"/>
          <w:szCs w:val="24"/>
        </w:rPr>
        <w:t xml:space="preserve">Zdolności administracyjne i finansowe do realizacji wytycznych zawartych </w:t>
      </w:r>
      <w:r w:rsidRPr="002B1F53">
        <w:rPr>
          <w:sz w:val="24"/>
          <w:szCs w:val="24"/>
        </w:rPr>
        <w:br/>
        <w:t xml:space="preserve">w niniejszym dokumencie; </w:t>
      </w:r>
    </w:p>
    <w:p w:rsidR="00306CF7" w:rsidRPr="002B1F53" w:rsidRDefault="00306CF7" w:rsidP="00306CF7">
      <w:pPr>
        <w:pStyle w:val="Akapitzlist"/>
        <w:numPr>
          <w:ilvl w:val="0"/>
          <w:numId w:val="20"/>
        </w:numPr>
        <w:spacing w:after="0" w:line="240" w:lineRule="auto"/>
        <w:jc w:val="both"/>
        <w:rPr>
          <w:sz w:val="24"/>
          <w:szCs w:val="24"/>
        </w:rPr>
      </w:pPr>
      <w:r w:rsidRPr="002B1F53">
        <w:rPr>
          <w:sz w:val="24"/>
          <w:szCs w:val="24"/>
        </w:rPr>
        <w:t xml:space="preserve">Zobowiązanie do przestrzegania norm w ramach jednolitego systemu i wspólnych modeli wymiany informacji oraz do współpracy w ramach sieci, w celu opracowania narzędzi i metodologii poprawy usług i systemów informacyjnych, między innymi poprzez zastosowanie nowych technologii informacyjnych; </w:t>
      </w:r>
    </w:p>
    <w:p w:rsidR="00306CF7" w:rsidRPr="002B1F53" w:rsidRDefault="00306CF7" w:rsidP="00306CF7">
      <w:pPr>
        <w:pStyle w:val="Akapitzlist"/>
        <w:numPr>
          <w:ilvl w:val="0"/>
          <w:numId w:val="20"/>
        </w:numPr>
        <w:spacing w:after="0" w:line="240" w:lineRule="auto"/>
        <w:jc w:val="both"/>
        <w:rPr>
          <w:sz w:val="24"/>
          <w:szCs w:val="24"/>
        </w:rPr>
      </w:pPr>
      <w:r w:rsidRPr="002B1F53">
        <w:rPr>
          <w:sz w:val="24"/>
          <w:szCs w:val="24"/>
        </w:rPr>
        <w:t xml:space="preserve">Zdolność i zobowiązanie do przekazywania informacji do Krajowego Urzędu Koordynacji w zakresie świadczenia usług i osiągniętych wyników zgodnie </w:t>
      </w:r>
      <w:r w:rsidRPr="002B1F53">
        <w:rPr>
          <w:sz w:val="24"/>
          <w:szCs w:val="24"/>
        </w:rPr>
        <w:br/>
        <w:t xml:space="preserve">z warunkami regulującymi status wyznaczonego partnera EURES, zgodnie </w:t>
      </w:r>
      <w:r w:rsidRPr="002B1F53">
        <w:rPr>
          <w:sz w:val="24"/>
          <w:szCs w:val="24"/>
        </w:rPr>
        <w:br/>
        <w:t xml:space="preserve">z uzgodnieniami lub umowami zawieranymi w tym zakresie między partnerami EURES </w:t>
      </w:r>
      <w:r w:rsidRPr="002B1F53">
        <w:rPr>
          <w:sz w:val="24"/>
          <w:szCs w:val="24"/>
        </w:rPr>
        <w:br/>
        <w:t xml:space="preserve">i Krajowym Urzędem Koordynacji; </w:t>
      </w:r>
    </w:p>
    <w:p w:rsidR="00306CF7" w:rsidRPr="002B1F53" w:rsidRDefault="00306CF7" w:rsidP="00306CF7">
      <w:pPr>
        <w:pStyle w:val="Akapitzlist"/>
        <w:numPr>
          <w:ilvl w:val="0"/>
          <w:numId w:val="20"/>
        </w:numPr>
        <w:spacing w:after="0" w:line="240" w:lineRule="auto"/>
        <w:jc w:val="both"/>
        <w:rPr>
          <w:sz w:val="24"/>
          <w:szCs w:val="24"/>
        </w:rPr>
      </w:pPr>
      <w:r w:rsidRPr="002B1F53">
        <w:rPr>
          <w:sz w:val="24"/>
          <w:szCs w:val="24"/>
        </w:rPr>
        <w:t xml:space="preserve">Zdolność i zobowiązanie do zapewnienia wkładu opisującego własne działania </w:t>
      </w:r>
      <w:r w:rsidRPr="002B1F53">
        <w:rPr>
          <w:sz w:val="24"/>
          <w:szCs w:val="24"/>
        </w:rPr>
        <w:br/>
        <w:t xml:space="preserve">w ramach planowania i sprawozdawczości dla Krajowego Urzędu Koordynacji </w:t>
      </w:r>
      <w:r w:rsidRPr="002B1F53">
        <w:rPr>
          <w:sz w:val="24"/>
          <w:szCs w:val="24"/>
        </w:rPr>
        <w:br/>
        <w:t xml:space="preserve">w zakresie działalności EURES, zgodnego z szablonami cyklu programowania </w:t>
      </w:r>
      <w:r w:rsidRPr="002B1F53">
        <w:rPr>
          <w:sz w:val="24"/>
          <w:szCs w:val="24"/>
        </w:rPr>
        <w:br/>
        <w:t xml:space="preserve">i sprawozdawczości przedstawionymi w załącznikach 1 i 2 do Karty EURES; </w:t>
      </w:r>
    </w:p>
    <w:p w:rsidR="00306CF7" w:rsidRPr="002B1F53" w:rsidRDefault="00306CF7" w:rsidP="00306CF7">
      <w:pPr>
        <w:pStyle w:val="Akapitzlist"/>
        <w:numPr>
          <w:ilvl w:val="0"/>
          <w:numId w:val="20"/>
        </w:numPr>
        <w:spacing w:after="0" w:line="240" w:lineRule="auto"/>
        <w:jc w:val="both"/>
        <w:rPr>
          <w:sz w:val="24"/>
          <w:szCs w:val="24"/>
        </w:rPr>
      </w:pPr>
      <w:r w:rsidRPr="002B1F53">
        <w:rPr>
          <w:sz w:val="24"/>
          <w:szCs w:val="24"/>
        </w:rPr>
        <w:t xml:space="preserve">Posiadanie lub zobowiązanie do zapewnienia odpowiednich zasobów ludzkich </w:t>
      </w:r>
      <w:r w:rsidRPr="002B1F53">
        <w:rPr>
          <w:sz w:val="24"/>
          <w:szCs w:val="24"/>
        </w:rPr>
        <w:br/>
        <w:t xml:space="preserve">w kontekście geograficznego lub instytucjonalnego mandatu danego partnera EURES, jak określono w uzgodnieniach lub umowach zawartych z Krajowym Urzędem Koordynacji; </w:t>
      </w:r>
    </w:p>
    <w:p w:rsidR="00306CF7" w:rsidRPr="002B1F53" w:rsidRDefault="00306CF7" w:rsidP="00306CF7">
      <w:pPr>
        <w:pStyle w:val="Akapitzlist"/>
        <w:numPr>
          <w:ilvl w:val="0"/>
          <w:numId w:val="20"/>
        </w:numPr>
        <w:tabs>
          <w:tab w:val="left" w:pos="142"/>
        </w:tabs>
        <w:spacing w:after="0" w:line="240" w:lineRule="auto"/>
        <w:jc w:val="both"/>
        <w:rPr>
          <w:sz w:val="24"/>
          <w:szCs w:val="24"/>
        </w:rPr>
      </w:pPr>
      <w:r w:rsidRPr="002B1F53">
        <w:rPr>
          <w:sz w:val="24"/>
          <w:szCs w:val="24"/>
        </w:rPr>
        <w:t xml:space="preserve">Zobowiązanie do zagwarantowania standardów jakości w odniesieniu do personelu świadczącego usługi EURES zgodnie z rozdziałem 5 Karty EURES , w tym zobowiązanie </w:t>
      </w:r>
      <w:r w:rsidRPr="002B1F53">
        <w:rPr>
          <w:sz w:val="24"/>
          <w:szCs w:val="24"/>
        </w:rPr>
        <w:br/>
        <w:t xml:space="preserve">do zapisywania pracowników na szkolenia na poziomie UE, przy uwzględnieniu określonych potrzeb organizacji, z jednej strony, oraz kryteriów wyboru i oferty </w:t>
      </w:r>
      <w:r w:rsidRPr="002B1F53">
        <w:rPr>
          <w:sz w:val="24"/>
          <w:szCs w:val="24"/>
        </w:rPr>
        <w:br/>
        <w:t>w ramach wspólnego programu szkoleń EURES – drugiej strony.</w:t>
      </w:r>
    </w:p>
    <w:p w:rsidR="00306CF7" w:rsidRDefault="00306CF7" w:rsidP="00306CF7">
      <w:pPr>
        <w:spacing w:after="0" w:line="240" w:lineRule="auto"/>
        <w:jc w:val="both"/>
        <w:rPr>
          <w:sz w:val="24"/>
          <w:szCs w:val="24"/>
        </w:rPr>
      </w:pPr>
    </w:p>
    <w:p w:rsidR="00A22D17" w:rsidRDefault="00A22D17" w:rsidP="00306CF7">
      <w:pPr>
        <w:spacing w:after="0" w:line="240" w:lineRule="auto"/>
        <w:jc w:val="both"/>
        <w:rPr>
          <w:sz w:val="24"/>
          <w:szCs w:val="24"/>
        </w:rPr>
      </w:pPr>
    </w:p>
    <w:p w:rsidR="00A22D17" w:rsidRPr="002B1F53" w:rsidRDefault="00A22D17" w:rsidP="00306CF7">
      <w:pPr>
        <w:spacing w:after="0" w:line="240" w:lineRule="auto"/>
        <w:jc w:val="both"/>
        <w:rPr>
          <w:sz w:val="24"/>
          <w:szCs w:val="24"/>
        </w:rPr>
      </w:pPr>
    </w:p>
    <w:p w:rsidR="00306CF7" w:rsidRPr="00D62B16" w:rsidRDefault="00EE63CF" w:rsidP="00306CF7">
      <w:pPr>
        <w:pStyle w:val="Nagwek3"/>
        <w:spacing w:line="240" w:lineRule="auto"/>
        <w:ind w:left="426"/>
        <w:rPr>
          <w:rFonts w:asciiTheme="minorHAnsi" w:hAnsiTheme="minorHAnsi"/>
        </w:rPr>
      </w:pPr>
      <w:bookmarkStart w:id="2" w:name="_Toc423324534"/>
      <w:r w:rsidRPr="00EE63CF">
        <w:rPr>
          <w:rFonts w:asciiTheme="minorHAnsi" w:hAnsiTheme="minorHAnsi"/>
        </w:rPr>
        <w:lastRenderedPageBreak/>
        <w:t>Wytyczne dotyczące zakresu i charakteru usług świadczonych przez partnerów EURES</w:t>
      </w:r>
      <w:bookmarkEnd w:id="2"/>
      <w:r w:rsidRPr="00EE63CF">
        <w:rPr>
          <w:rFonts w:asciiTheme="minorHAnsi" w:hAnsiTheme="minorHAnsi"/>
        </w:rPr>
        <w:t xml:space="preserve"> </w:t>
      </w:r>
    </w:p>
    <w:p w:rsidR="00306CF7" w:rsidRPr="002B1F53" w:rsidRDefault="00306CF7" w:rsidP="00306CF7">
      <w:pPr>
        <w:spacing w:after="0"/>
        <w:rPr>
          <w:sz w:val="24"/>
          <w:szCs w:val="24"/>
        </w:rPr>
      </w:pPr>
    </w:p>
    <w:p w:rsidR="00306CF7" w:rsidRPr="002B1F53" w:rsidRDefault="00306CF7" w:rsidP="00306CF7">
      <w:pPr>
        <w:pStyle w:val="Akapitzlist"/>
        <w:numPr>
          <w:ilvl w:val="0"/>
          <w:numId w:val="21"/>
        </w:numPr>
        <w:spacing w:after="0" w:line="240" w:lineRule="auto"/>
        <w:jc w:val="both"/>
        <w:rPr>
          <w:sz w:val="24"/>
          <w:szCs w:val="24"/>
        </w:rPr>
      </w:pPr>
      <w:r w:rsidRPr="002B1F53">
        <w:rPr>
          <w:sz w:val="24"/>
          <w:szCs w:val="24"/>
        </w:rPr>
        <w:t xml:space="preserve">Zdolność do świadczenia wszystkich usług niezbędnych do kojarzenia ofert zatrudnienia i wniosków o zatrudnienie oraz związanego z tym zatrudniania pracowników, o którym mowa w art. 11 rozporządzenia 492/2011 zdefiniowanego jako „usługi uniwersalne” w katalogu usług wymienionych w załączniku 4 do Karty EURES; </w:t>
      </w:r>
    </w:p>
    <w:p w:rsidR="00306CF7" w:rsidRPr="002B1F53" w:rsidRDefault="00306CF7" w:rsidP="00306CF7">
      <w:pPr>
        <w:pStyle w:val="Akapitzlist"/>
        <w:numPr>
          <w:ilvl w:val="0"/>
          <w:numId w:val="21"/>
        </w:numPr>
        <w:spacing w:after="0" w:line="240" w:lineRule="auto"/>
        <w:jc w:val="both"/>
        <w:rPr>
          <w:sz w:val="24"/>
          <w:szCs w:val="24"/>
        </w:rPr>
      </w:pPr>
      <w:r w:rsidRPr="002B1F53">
        <w:rPr>
          <w:sz w:val="24"/>
          <w:szCs w:val="24"/>
        </w:rPr>
        <w:t>Zaangażowanie w realizację krajowej polityki zatrudnienia oraz europejskiej strategii zatrudnienia;</w:t>
      </w:r>
    </w:p>
    <w:p w:rsidR="00306CF7" w:rsidRPr="002B1F53" w:rsidRDefault="00306CF7" w:rsidP="00306CF7">
      <w:pPr>
        <w:pStyle w:val="Akapitzlist"/>
        <w:numPr>
          <w:ilvl w:val="0"/>
          <w:numId w:val="21"/>
        </w:numPr>
        <w:spacing w:after="0" w:line="240" w:lineRule="auto"/>
        <w:jc w:val="both"/>
        <w:rPr>
          <w:sz w:val="24"/>
          <w:szCs w:val="24"/>
        </w:rPr>
      </w:pPr>
      <w:r w:rsidRPr="002B1F53">
        <w:rPr>
          <w:sz w:val="24"/>
          <w:szCs w:val="24"/>
        </w:rPr>
        <w:t xml:space="preserve">Możliwość świadczenia usług EURES w ramach udogodnień wielokanałowych, </w:t>
      </w:r>
      <w:r w:rsidRPr="002B1F53">
        <w:rPr>
          <w:sz w:val="24"/>
          <w:szCs w:val="24"/>
        </w:rPr>
        <w:br/>
        <w:t xml:space="preserve">z których co najmniej Internet/strona internetowa organizacji jest dostępna przez cały czas; </w:t>
      </w:r>
    </w:p>
    <w:p w:rsidR="00306CF7" w:rsidRPr="002B1F53" w:rsidRDefault="00306CF7" w:rsidP="00306CF7">
      <w:pPr>
        <w:pStyle w:val="Akapitzlist"/>
        <w:numPr>
          <w:ilvl w:val="0"/>
          <w:numId w:val="21"/>
        </w:numPr>
        <w:spacing w:after="0" w:line="240" w:lineRule="auto"/>
        <w:jc w:val="both"/>
        <w:rPr>
          <w:sz w:val="24"/>
          <w:szCs w:val="24"/>
        </w:rPr>
      </w:pPr>
      <w:r w:rsidRPr="002B1F53">
        <w:rPr>
          <w:sz w:val="24"/>
          <w:szCs w:val="24"/>
        </w:rPr>
        <w:t xml:space="preserve">Udostępnianie usług EURES w procesie dopasowywania ofert pracy i wniosków </w:t>
      </w:r>
      <w:r w:rsidRPr="002B1F53">
        <w:rPr>
          <w:sz w:val="24"/>
          <w:szCs w:val="24"/>
        </w:rPr>
        <w:br/>
        <w:t xml:space="preserve">o zatrudnienie zgodnie z ogólnie przyjętymi zasadami i ustaleniami dotyczącymi efektywnego świadczenia usług i efektywnego zarządzania liczbą klientów dla różnych grup klientów i zgodnie z art. 6 ust. 2 i 3 decyzji; - Istnienie odpowiednich mechanizmów odesłań, tj. możliwości zagwarantowania, że klienci – osoby poszukujące pracy i pracodawcy – zostaną skierowani do innych partnerów EURES i/lub stowarzyszonych partnerów EURES jeżeli a) konkretne, wymagane usługi uniwersalne są tymczasowo niedostępne w konkretnej lokalizacji lub b) usługi dodatkowe nie mogą być realizowane; </w:t>
      </w:r>
    </w:p>
    <w:p w:rsidR="00306CF7" w:rsidRPr="002B1F53" w:rsidRDefault="00306CF7" w:rsidP="00306CF7">
      <w:pPr>
        <w:pStyle w:val="Akapitzlist"/>
        <w:numPr>
          <w:ilvl w:val="0"/>
          <w:numId w:val="21"/>
        </w:numPr>
        <w:spacing w:after="0" w:line="240" w:lineRule="auto"/>
        <w:jc w:val="both"/>
        <w:rPr>
          <w:sz w:val="24"/>
          <w:szCs w:val="24"/>
        </w:rPr>
      </w:pPr>
      <w:r w:rsidRPr="002B1F53">
        <w:rPr>
          <w:sz w:val="24"/>
          <w:szCs w:val="24"/>
        </w:rPr>
        <w:t xml:space="preserve">Istnienie odpowiednich mechanizmów i procedur sprawdzenia i zapewnienia pełnego poszanowania obowiązujących norm pracy i wymogów prawnych przy realizacji usługi (Komentarz: Dotyczy to w szczególności obowiązujących przepisów krajowych odnoszących się do pośrednictwa pracy i innych podmiotów niepublicznych uprawnionych do prowadzenia pośrednictwa pracy, ale może obejmować również zasady mające zastosowanie do agencji pracy tymczasowej na terytorium kraju - które mogą być oparte na prawie UE.) oraz </w:t>
      </w:r>
    </w:p>
    <w:p w:rsidR="00306CF7" w:rsidRPr="002B1F53" w:rsidRDefault="00306CF7" w:rsidP="00306CF7">
      <w:pPr>
        <w:pStyle w:val="CM1"/>
        <w:numPr>
          <w:ilvl w:val="0"/>
          <w:numId w:val="21"/>
        </w:numPr>
        <w:jc w:val="both"/>
        <w:rPr>
          <w:rFonts w:asciiTheme="minorHAnsi" w:hAnsiTheme="minorHAnsi"/>
          <w:b/>
        </w:rPr>
      </w:pPr>
      <w:r w:rsidRPr="002B1F53">
        <w:rPr>
          <w:rFonts w:asciiTheme="minorHAnsi" w:hAnsiTheme="minorHAnsi"/>
        </w:rPr>
        <w:t xml:space="preserve">Zastosowanie zasad dotyczących poboru opłat zgodnie z art. 7 ust. 4 Decyzji, </w:t>
      </w:r>
      <w:r w:rsidRPr="002B1F53">
        <w:rPr>
          <w:rFonts w:asciiTheme="minorHAnsi" w:hAnsiTheme="minorHAnsi"/>
        </w:rPr>
        <w:br/>
        <w:t>który mówi, że w</w:t>
      </w:r>
      <w:r w:rsidRPr="002B1F53">
        <w:rPr>
          <w:rFonts w:asciiTheme="minorHAnsi" w:hAnsiTheme="minorHAnsi" w:cs="EUAlbertina"/>
          <w:color w:val="000000"/>
        </w:rPr>
        <w:t xml:space="preserve">szystkie usługi na rzecz osób poszukujących pracy i pracowników świadczy się nieodpłatnie. </w:t>
      </w:r>
    </w:p>
    <w:p w:rsidR="00306CF7" w:rsidRPr="002B1F53" w:rsidRDefault="00306CF7" w:rsidP="00306CF7">
      <w:pPr>
        <w:pStyle w:val="CM1"/>
        <w:ind w:left="720"/>
        <w:jc w:val="both"/>
        <w:rPr>
          <w:rFonts w:asciiTheme="minorHAnsi" w:hAnsiTheme="minorHAnsi"/>
          <w:b/>
        </w:rPr>
      </w:pPr>
      <w:r w:rsidRPr="002B1F53">
        <w:rPr>
          <w:rFonts w:asciiTheme="minorHAnsi" w:hAnsiTheme="minorHAnsi" w:cs="EUAlbertina"/>
          <w:color w:val="000000"/>
        </w:rPr>
        <w:t>Jeśli partnerzy EURES pobierają opłaty od usług świadczonych innym użytkownikom, opłaty pobierane za usługi EURES nie powinny różnić się od opłat pobieranych za inne porównywalne usługi świadczone przez tego samego partnera EURES. Przy określaniu opłaty uwzględnia się wszelkie finansowanie otrzymane od Unii Europejskiej celem wsparcia świadczenia usług EURES, aby uniknąć podwójnego finansowania.</w:t>
      </w:r>
    </w:p>
    <w:p w:rsidR="00306CF7" w:rsidRPr="002B1F53" w:rsidRDefault="00306CF7" w:rsidP="00306CF7">
      <w:pPr>
        <w:spacing w:after="0" w:line="240" w:lineRule="auto"/>
        <w:jc w:val="both"/>
        <w:rPr>
          <w:b/>
          <w:sz w:val="24"/>
          <w:szCs w:val="24"/>
        </w:rPr>
      </w:pPr>
    </w:p>
    <w:p w:rsidR="00306CF7" w:rsidRPr="00D62B16" w:rsidRDefault="00EE63CF" w:rsidP="00306CF7">
      <w:pPr>
        <w:pStyle w:val="Nagwek3"/>
        <w:spacing w:line="240" w:lineRule="auto"/>
        <w:ind w:left="426" w:hanging="349"/>
        <w:rPr>
          <w:rFonts w:asciiTheme="minorHAnsi" w:hAnsiTheme="minorHAnsi"/>
        </w:rPr>
      </w:pPr>
      <w:bookmarkStart w:id="3" w:name="_Toc423324535"/>
      <w:r w:rsidRPr="00EE63CF">
        <w:rPr>
          <w:rFonts w:asciiTheme="minorHAnsi" w:hAnsiTheme="minorHAnsi"/>
        </w:rPr>
        <w:t>Katalog usług EURES</w:t>
      </w:r>
      <w:r w:rsidRPr="00EE63CF">
        <w:rPr>
          <w:rStyle w:val="Odwoanieprzypisudolnego"/>
          <w:rFonts w:asciiTheme="minorHAnsi" w:hAnsiTheme="minorHAnsi"/>
        </w:rPr>
        <w:footnoteReference w:id="1"/>
      </w:r>
      <w:bookmarkEnd w:id="3"/>
    </w:p>
    <w:p w:rsidR="00306CF7" w:rsidRPr="002B1F53" w:rsidRDefault="00306CF7" w:rsidP="00306CF7">
      <w:pPr>
        <w:spacing w:after="0"/>
        <w:rPr>
          <w:sz w:val="24"/>
          <w:szCs w:val="24"/>
        </w:rPr>
      </w:pPr>
    </w:p>
    <w:p w:rsidR="00306CF7" w:rsidRPr="002B1F53" w:rsidRDefault="00306CF7" w:rsidP="00306CF7">
      <w:pPr>
        <w:spacing w:after="0" w:line="240" w:lineRule="auto"/>
        <w:jc w:val="both"/>
        <w:rPr>
          <w:sz w:val="24"/>
          <w:szCs w:val="24"/>
        </w:rPr>
      </w:pPr>
      <w:r w:rsidRPr="002B1F53">
        <w:rPr>
          <w:sz w:val="24"/>
          <w:szCs w:val="24"/>
        </w:rPr>
        <w:t xml:space="preserve"> </w:t>
      </w:r>
      <w:r w:rsidRPr="002B1F53">
        <w:rPr>
          <w:sz w:val="24"/>
          <w:szCs w:val="24"/>
        </w:rPr>
        <w:tab/>
        <w:t xml:space="preserve">Katalog standardowych usług EURES, stanowiący załącznik nr 4 do KARTY EURES, rozróżnia </w:t>
      </w:r>
      <w:r w:rsidRPr="002B1F53">
        <w:rPr>
          <w:b/>
          <w:sz w:val="24"/>
          <w:szCs w:val="24"/>
        </w:rPr>
        <w:t>usługi uniwersalne oraz dodatkowe</w:t>
      </w:r>
      <w:r w:rsidRPr="002B1F53">
        <w:rPr>
          <w:sz w:val="24"/>
          <w:szCs w:val="24"/>
        </w:rPr>
        <w:t>. Usługi uniwersalne muszą być obligatoryjnie realizowane przez wszystkich partnerów EURES, natomiast usługi dodatkowe mogą być świadczone w zależności</w:t>
      </w:r>
      <w:r w:rsidR="00D62B16">
        <w:rPr>
          <w:sz w:val="24"/>
          <w:szCs w:val="24"/>
        </w:rPr>
        <w:t>,</w:t>
      </w:r>
      <w:r w:rsidRPr="002B1F53">
        <w:rPr>
          <w:sz w:val="24"/>
          <w:szCs w:val="24"/>
        </w:rPr>
        <w:t xml:space="preserve"> czy istnieje na nie zapotrzebowanie na rynku pracy.</w:t>
      </w:r>
    </w:p>
    <w:p w:rsidR="00306CF7" w:rsidRPr="002B1F53" w:rsidRDefault="00306CF7" w:rsidP="00306CF7">
      <w:pPr>
        <w:spacing w:after="0" w:line="240" w:lineRule="auto"/>
        <w:jc w:val="both"/>
        <w:rPr>
          <w:sz w:val="24"/>
          <w:szCs w:val="24"/>
        </w:rPr>
      </w:pPr>
      <w:r w:rsidRPr="002B1F53">
        <w:rPr>
          <w:sz w:val="24"/>
          <w:szCs w:val="24"/>
        </w:rPr>
        <w:t>Kanały, przez które partnerzy EURES świadczą swoje usługi oraz ilościowy zakres mogą się różnić w zależności od różnorodnych czynników np. sytuacja na lokalnym, krajowym lub europejskim  rynku pracy, dostępność IT, wspólne praktyki krajowe, itp.</w:t>
      </w:r>
    </w:p>
    <w:p w:rsidR="00306CF7" w:rsidRPr="002B1F53" w:rsidRDefault="00306CF7" w:rsidP="00306CF7">
      <w:pPr>
        <w:spacing w:after="0" w:line="240" w:lineRule="auto"/>
        <w:jc w:val="both"/>
        <w:rPr>
          <w:sz w:val="24"/>
          <w:szCs w:val="24"/>
        </w:rPr>
      </w:pPr>
      <w:r w:rsidRPr="002B1F53">
        <w:rPr>
          <w:sz w:val="24"/>
          <w:szCs w:val="24"/>
        </w:rPr>
        <w:t xml:space="preserve">Wszyscy partnerzy EURES zobowiązują się, w sposób całkowicie przejrzysty, do wskazania: </w:t>
      </w:r>
    </w:p>
    <w:p w:rsidR="00306CF7" w:rsidRPr="002B1F53" w:rsidRDefault="00306CF7" w:rsidP="00306CF7">
      <w:pPr>
        <w:pStyle w:val="Akapitzlist"/>
        <w:numPr>
          <w:ilvl w:val="0"/>
          <w:numId w:val="22"/>
        </w:numPr>
        <w:spacing w:after="0" w:line="240" w:lineRule="auto"/>
        <w:jc w:val="both"/>
        <w:rPr>
          <w:sz w:val="24"/>
          <w:szCs w:val="24"/>
        </w:rPr>
      </w:pPr>
      <w:r w:rsidRPr="002B1F53">
        <w:rPr>
          <w:sz w:val="24"/>
          <w:szCs w:val="24"/>
        </w:rPr>
        <w:t xml:space="preserve">zakresu usług EURES, jakie świadczą; </w:t>
      </w:r>
    </w:p>
    <w:p w:rsidR="00306CF7" w:rsidRPr="002B1F53" w:rsidRDefault="00306CF7" w:rsidP="00306CF7">
      <w:pPr>
        <w:pStyle w:val="Akapitzlist"/>
        <w:numPr>
          <w:ilvl w:val="0"/>
          <w:numId w:val="22"/>
        </w:numPr>
        <w:spacing w:after="0" w:line="240" w:lineRule="auto"/>
        <w:jc w:val="both"/>
        <w:rPr>
          <w:sz w:val="24"/>
          <w:szCs w:val="24"/>
        </w:rPr>
      </w:pPr>
      <w:r w:rsidRPr="002B1F53">
        <w:rPr>
          <w:sz w:val="24"/>
          <w:szCs w:val="24"/>
        </w:rPr>
        <w:lastRenderedPageBreak/>
        <w:t xml:space="preserve">miejsca i sposobu udostępniania tych usług i </w:t>
      </w:r>
    </w:p>
    <w:p w:rsidR="00306CF7" w:rsidRPr="002B1F53" w:rsidRDefault="00306CF7" w:rsidP="00306CF7">
      <w:pPr>
        <w:pStyle w:val="Akapitzlist"/>
        <w:numPr>
          <w:ilvl w:val="0"/>
          <w:numId w:val="22"/>
        </w:numPr>
        <w:spacing w:after="0" w:line="240" w:lineRule="auto"/>
        <w:jc w:val="both"/>
        <w:rPr>
          <w:sz w:val="24"/>
          <w:szCs w:val="24"/>
        </w:rPr>
      </w:pPr>
      <w:r w:rsidRPr="002B1F53">
        <w:rPr>
          <w:sz w:val="24"/>
          <w:szCs w:val="24"/>
        </w:rPr>
        <w:t xml:space="preserve">poziomu usług, jakiego klienci mogą oczekiwać. </w:t>
      </w:r>
    </w:p>
    <w:p w:rsidR="00306CF7" w:rsidRPr="002B1F53" w:rsidRDefault="00306CF7" w:rsidP="00306CF7">
      <w:pPr>
        <w:spacing w:after="0" w:line="240" w:lineRule="auto"/>
        <w:ind w:firstLine="708"/>
        <w:jc w:val="both"/>
        <w:rPr>
          <w:sz w:val="24"/>
          <w:szCs w:val="24"/>
        </w:rPr>
      </w:pPr>
    </w:p>
    <w:p w:rsidR="00306CF7" w:rsidRPr="002B1F53" w:rsidRDefault="00306CF7" w:rsidP="00306CF7">
      <w:pPr>
        <w:spacing w:after="0" w:line="240" w:lineRule="auto"/>
        <w:ind w:firstLine="708"/>
        <w:jc w:val="both"/>
        <w:rPr>
          <w:sz w:val="24"/>
          <w:szCs w:val="24"/>
        </w:rPr>
      </w:pPr>
      <w:r w:rsidRPr="002B1F53">
        <w:rPr>
          <w:sz w:val="24"/>
          <w:szCs w:val="24"/>
        </w:rPr>
        <w:t xml:space="preserve">Informacje te będą publikowane na portalu EURES we wspólnym formacie uzgodnionym przez Europejski Urząd Koordynacji i Krajowe Urzędy Koordynacji. Ponadto wszyscy partnerzy EURES przekazują te same informacje za pośrednictwem wszystkich swoich kanałów wykorzystywanych do kontaktu z klientami, takich jak strony internetowe i inne narzędzia samoobsługowe, biura regionalne i lokalne, itp. </w:t>
      </w:r>
    </w:p>
    <w:p w:rsidR="00306CF7" w:rsidRPr="002B1F53" w:rsidRDefault="00306CF7" w:rsidP="00306CF7">
      <w:pPr>
        <w:spacing w:after="0" w:line="240" w:lineRule="auto"/>
        <w:ind w:firstLine="708"/>
        <w:jc w:val="both"/>
        <w:rPr>
          <w:sz w:val="24"/>
          <w:szCs w:val="24"/>
        </w:rPr>
      </w:pPr>
      <w:r w:rsidRPr="002B1F53">
        <w:rPr>
          <w:sz w:val="24"/>
          <w:szCs w:val="24"/>
        </w:rPr>
        <w:t>Europejski Urząd Koordynacji i Krajowe Urzędy Koordynacji uzgodnią wspólne minimalne standardy jakości dla każdej usługi uniwersalnej lub grupy usług uniwersalnych. Standardy te zostaną opublikowane na portalu EURES i będą przestrzegane przez wszystkich partnerów EURES.</w:t>
      </w:r>
    </w:p>
    <w:p w:rsidR="00306CF7" w:rsidRPr="002A4A90" w:rsidRDefault="00306CF7" w:rsidP="002A4A90">
      <w:pPr>
        <w:jc w:val="both"/>
        <w:rPr>
          <w:rFonts w:ascii="Calibri" w:hAnsi="Calibri"/>
        </w:rPr>
      </w:pPr>
    </w:p>
    <w:p w:rsidR="006B1827" w:rsidRDefault="006B1827" w:rsidP="006B1827">
      <w:pPr>
        <w:spacing w:after="0"/>
        <w:jc w:val="both"/>
        <w:rPr>
          <w:sz w:val="24"/>
          <w:szCs w:val="24"/>
        </w:rPr>
      </w:pPr>
      <w:r w:rsidRPr="00B46093">
        <w:rPr>
          <w:sz w:val="24"/>
          <w:szCs w:val="24"/>
        </w:rPr>
        <w:tab/>
      </w:r>
    </w:p>
    <w:p w:rsidR="006F6D2E" w:rsidRPr="00B46093" w:rsidRDefault="006F6D2E" w:rsidP="006B1827">
      <w:pPr>
        <w:spacing w:after="0"/>
        <w:jc w:val="both"/>
        <w:rPr>
          <w:sz w:val="24"/>
          <w:szCs w:val="24"/>
        </w:rPr>
      </w:pPr>
    </w:p>
    <w:p w:rsidR="00B20E58" w:rsidRDefault="00B20E58">
      <w:pPr>
        <w:rPr>
          <w:b/>
          <w:sz w:val="32"/>
          <w:szCs w:val="20"/>
        </w:rPr>
      </w:pPr>
      <w:r>
        <w:rPr>
          <w:b/>
          <w:sz w:val="32"/>
          <w:szCs w:val="20"/>
        </w:rPr>
        <w:br w:type="page"/>
      </w:r>
    </w:p>
    <w:p w:rsidR="006B1827" w:rsidRPr="006B1827" w:rsidRDefault="006B1827" w:rsidP="006B1827">
      <w:pPr>
        <w:spacing w:line="240" w:lineRule="auto"/>
        <w:jc w:val="center"/>
        <w:rPr>
          <w:b/>
          <w:sz w:val="32"/>
          <w:szCs w:val="20"/>
        </w:rPr>
      </w:pPr>
      <w:r w:rsidRPr="006B1827">
        <w:rPr>
          <w:b/>
          <w:sz w:val="32"/>
          <w:szCs w:val="20"/>
        </w:rPr>
        <w:lastRenderedPageBreak/>
        <w:t>TARYFIKATOR CEN TOWARÓW I USŁUG</w:t>
      </w:r>
    </w:p>
    <w:p w:rsidR="006B1827" w:rsidRPr="00BD2533" w:rsidRDefault="006B1827" w:rsidP="006B1827">
      <w:pPr>
        <w:jc w:val="both"/>
        <w:rPr>
          <w:color w:val="000000"/>
        </w:rPr>
      </w:pPr>
      <w:r w:rsidRPr="002A4A90">
        <w:t xml:space="preserve">Zgodnie z </w:t>
      </w:r>
      <w:r>
        <w:rPr>
          <w:i/>
        </w:rPr>
        <w:t xml:space="preserve">Wytycznymi w zakresie </w:t>
      </w:r>
      <w:proofErr w:type="spellStart"/>
      <w:r w:rsidRPr="004C0318">
        <w:rPr>
          <w:i/>
        </w:rPr>
        <w:t>kwalifikowalności</w:t>
      </w:r>
      <w:proofErr w:type="spellEnd"/>
      <w:r w:rsidRPr="004C0318">
        <w:rPr>
          <w:i/>
        </w:rPr>
        <w:t xml:space="preserve"> wydatków w ramach Europejskiego Funduszu Rozwoju Regionalnego, Europejskiego Funduszu Społecznego oraz Funduszu Spójności</w:t>
      </w:r>
      <w:r w:rsidRPr="002A4A90">
        <w:t xml:space="preserve"> (rozdz. 8.3, pkt. 10) z dnia 10 kwietnia 2015 r. Instytucja Pośrednicząca określiła ceny rynkowe w zakresie najczęściej pojawiających się wydatków w danej grupie realizowanych projektów tzw. katalog maksymalnych dopuszczalnych stawek dla towarów i usług (w tym wynagrodzeń) </w:t>
      </w:r>
      <w:r>
        <w:t>dla</w:t>
      </w:r>
      <w:r w:rsidRPr="002A4A90">
        <w:rPr>
          <w:color w:val="000000"/>
        </w:rPr>
        <w:t xml:space="preserve"> projekt</w:t>
      </w:r>
      <w:r>
        <w:rPr>
          <w:color w:val="000000"/>
        </w:rPr>
        <w:t>ów</w:t>
      </w:r>
      <w:r w:rsidRPr="002A4A90">
        <w:rPr>
          <w:color w:val="000000"/>
        </w:rPr>
        <w:t>, finansowan</w:t>
      </w:r>
      <w:r>
        <w:rPr>
          <w:color w:val="000000"/>
        </w:rPr>
        <w:t>ych</w:t>
      </w:r>
      <w:r w:rsidRPr="002A4A90">
        <w:rPr>
          <w:color w:val="000000"/>
        </w:rPr>
        <w:t xml:space="preserve"> </w:t>
      </w:r>
      <w:r>
        <w:rPr>
          <w:color w:val="000000"/>
        </w:rPr>
        <w:br/>
      </w:r>
      <w:r w:rsidRPr="002A4A90">
        <w:rPr>
          <w:color w:val="000000"/>
        </w:rPr>
        <w:t xml:space="preserve">z </w:t>
      </w:r>
      <w:r w:rsidRPr="002A4A90">
        <w:rPr>
          <w:b/>
          <w:color w:val="000000"/>
        </w:rPr>
        <w:t>Regionalnego</w:t>
      </w:r>
      <w:r w:rsidRPr="002A4A90">
        <w:rPr>
          <w:color w:val="000000"/>
        </w:rPr>
        <w:t xml:space="preserve"> </w:t>
      </w:r>
      <w:r w:rsidRPr="002A4A90">
        <w:rPr>
          <w:b/>
          <w:color w:val="000000"/>
        </w:rPr>
        <w:t xml:space="preserve">Programu Operacyjnego Województwa Dolnośląskiego 2014-2020 </w:t>
      </w:r>
      <w:r w:rsidRPr="002A4A90">
        <w:rPr>
          <w:color w:val="000000"/>
        </w:rPr>
        <w:t xml:space="preserve">w ramach Działania </w:t>
      </w:r>
      <w:r>
        <w:rPr>
          <w:color w:val="000000"/>
        </w:rPr>
        <w:t>8.2 Wsparcie osób poszukujących pracy</w:t>
      </w:r>
      <w:r w:rsidRPr="002A4A90">
        <w:rPr>
          <w:color w:val="000000"/>
        </w:rPr>
        <w:t xml:space="preserve">. </w:t>
      </w:r>
    </w:p>
    <w:p w:rsidR="006B1827" w:rsidRPr="002A4A90" w:rsidRDefault="006B1827" w:rsidP="006B1827">
      <w:pPr>
        <w:jc w:val="both"/>
        <w:rPr>
          <w:rFonts w:ascii="Calibri" w:hAnsi="Calibri"/>
        </w:rPr>
      </w:pPr>
      <w:r w:rsidRPr="002A4A90">
        <w:rPr>
          <w:rFonts w:ascii="Calibri" w:hAnsi="Calibri"/>
        </w:rPr>
        <w:t>Źródła pozyskania danych:</w:t>
      </w:r>
    </w:p>
    <w:p w:rsidR="006B1827" w:rsidRPr="002A4A90" w:rsidRDefault="006B1827" w:rsidP="006B1827">
      <w:pPr>
        <w:jc w:val="both"/>
        <w:rPr>
          <w:rFonts w:ascii="Calibri" w:hAnsi="Calibri"/>
        </w:rPr>
      </w:pPr>
      <w:r w:rsidRPr="002A4A90">
        <w:rPr>
          <w:rFonts w:ascii="Calibri" w:hAnsi="Calibri"/>
        </w:rPr>
        <w:t xml:space="preserve">w zakresie wynagrodzeń źródłem pozyskania danych </w:t>
      </w:r>
      <w:r>
        <w:rPr>
          <w:rFonts w:ascii="Calibri" w:hAnsi="Calibri"/>
        </w:rPr>
        <w:t>są</w:t>
      </w:r>
      <w:r w:rsidRPr="002A4A90">
        <w:rPr>
          <w:rFonts w:ascii="Calibri" w:hAnsi="Calibri"/>
        </w:rPr>
        <w:t xml:space="preserve">: </w:t>
      </w:r>
    </w:p>
    <w:p w:rsidR="006B1827" w:rsidRPr="00AC5560" w:rsidRDefault="006B1827" w:rsidP="006B1827">
      <w:pPr>
        <w:pStyle w:val="Akapitzlist"/>
        <w:numPr>
          <w:ilvl w:val="0"/>
          <w:numId w:val="13"/>
        </w:numPr>
        <w:jc w:val="both"/>
        <w:rPr>
          <w:rFonts w:ascii="Calibri" w:hAnsi="Calibri"/>
        </w:rPr>
      </w:pPr>
      <w:r w:rsidRPr="00AC5560">
        <w:rPr>
          <w:rFonts w:ascii="Calibri" w:hAnsi="Calibri"/>
        </w:rPr>
        <w:t xml:space="preserve">portale płacowe, </w:t>
      </w:r>
    </w:p>
    <w:p w:rsidR="006B1827" w:rsidRPr="00AC5560" w:rsidRDefault="006B1827" w:rsidP="006B1827">
      <w:pPr>
        <w:ind w:left="30"/>
        <w:jc w:val="both"/>
        <w:rPr>
          <w:rFonts w:ascii="Calibri" w:hAnsi="Calibri"/>
        </w:rPr>
      </w:pPr>
      <w:r w:rsidRPr="00AC5560">
        <w:rPr>
          <w:rFonts w:ascii="Calibri" w:hAnsi="Calibri"/>
        </w:rPr>
        <w:t>w zakre</w:t>
      </w:r>
      <w:r>
        <w:rPr>
          <w:rFonts w:ascii="Calibri" w:hAnsi="Calibri"/>
        </w:rPr>
        <w:t>sie sprzętu komputerowego, zakupu materiałów</w:t>
      </w:r>
      <w:r w:rsidRPr="00AC5560">
        <w:rPr>
          <w:rFonts w:ascii="Calibri" w:hAnsi="Calibri"/>
        </w:rPr>
        <w:t xml:space="preserve"> i usług źródłem pozyskania danych są:</w:t>
      </w:r>
    </w:p>
    <w:p w:rsidR="006B1827" w:rsidRPr="00AC5560" w:rsidRDefault="006B1827" w:rsidP="006B1827">
      <w:pPr>
        <w:pStyle w:val="Akapitzlist"/>
        <w:numPr>
          <w:ilvl w:val="0"/>
          <w:numId w:val="13"/>
        </w:numPr>
        <w:jc w:val="both"/>
        <w:rPr>
          <w:rFonts w:ascii="Calibri" w:hAnsi="Calibri"/>
        </w:rPr>
      </w:pPr>
      <w:r>
        <w:rPr>
          <w:rFonts w:ascii="Calibri" w:hAnsi="Calibri"/>
        </w:rPr>
        <w:t>10</w:t>
      </w:r>
      <w:r w:rsidRPr="00AC5560">
        <w:rPr>
          <w:rFonts w:ascii="Calibri" w:hAnsi="Calibri"/>
        </w:rPr>
        <w:t xml:space="preserve"> ofert </w:t>
      </w:r>
      <w:r>
        <w:rPr>
          <w:rFonts w:ascii="Calibri" w:hAnsi="Calibri"/>
        </w:rPr>
        <w:t xml:space="preserve">internetowych lub </w:t>
      </w:r>
      <w:r w:rsidRPr="00AC5560">
        <w:rPr>
          <w:rFonts w:ascii="Calibri" w:hAnsi="Calibri"/>
        </w:rPr>
        <w:t>pozyskan</w:t>
      </w:r>
      <w:r>
        <w:rPr>
          <w:rFonts w:ascii="Calibri" w:hAnsi="Calibri"/>
        </w:rPr>
        <w:t>ych</w:t>
      </w:r>
      <w:r w:rsidRPr="00AC5560">
        <w:rPr>
          <w:rFonts w:ascii="Calibri" w:hAnsi="Calibri"/>
        </w:rPr>
        <w:t xml:space="preserve"> dla konkretnie opisanego towaru / usługi. </w:t>
      </w:r>
    </w:p>
    <w:p w:rsidR="00E548DC" w:rsidRPr="00F973F9" w:rsidRDefault="006B1827" w:rsidP="00F973F9">
      <w:pPr>
        <w:jc w:val="both"/>
        <w:rPr>
          <w:rFonts w:ascii="Calibri" w:hAnsi="Calibri"/>
        </w:rPr>
      </w:pPr>
      <w:r w:rsidRPr="002A4A90">
        <w:rPr>
          <w:rFonts w:ascii="Calibri" w:hAnsi="Calibri"/>
        </w:rPr>
        <w:t xml:space="preserve">Maksymalna dopuszczalna cena </w:t>
      </w:r>
      <w:r>
        <w:rPr>
          <w:rFonts w:ascii="Calibri" w:hAnsi="Calibri"/>
        </w:rPr>
        <w:t>została</w:t>
      </w:r>
      <w:r w:rsidRPr="002A4A90">
        <w:rPr>
          <w:rFonts w:ascii="Calibri" w:hAnsi="Calibri"/>
        </w:rPr>
        <w:t xml:space="preserve"> wyliczona w sposób następujący: średnia cena rynkowa uzyskana z badania </w:t>
      </w:r>
      <w:r w:rsidRPr="005F5C17">
        <w:rPr>
          <w:rFonts w:ascii="Calibri" w:hAnsi="Calibri"/>
        </w:rPr>
        <w:t xml:space="preserve">rynku </w:t>
      </w:r>
      <w:r w:rsidRPr="005F5C17">
        <w:rPr>
          <w:rFonts w:ascii="Calibri" w:hAnsi="Calibri"/>
          <w:color w:val="000000" w:themeColor="text1"/>
          <w:u w:val="single"/>
        </w:rPr>
        <w:t>(10 ofert)</w:t>
      </w:r>
      <w:r w:rsidRPr="005F5C17">
        <w:rPr>
          <w:rFonts w:ascii="Calibri" w:hAnsi="Calibri"/>
          <w:color w:val="FF0000"/>
        </w:rPr>
        <w:t xml:space="preserve"> </w:t>
      </w:r>
      <w:r w:rsidRPr="005F5C17">
        <w:rPr>
          <w:rFonts w:ascii="Calibri" w:hAnsi="Calibri"/>
        </w:rPr>
        <w:t xml:space="preserve">następnie kwota </w:t>
      </w:r>
      <w:r w:rsidRPr="005F5C17">
        <w:rPr>
          <w:rFonts w:ascii="Calibri" w:hAnsi="Calibri"/>
          <w:u w:val="single"/>
        </w:rPr>
        <w:t>zaokrąglona w górę do pełnych złotych</w:t>
      </w:r>
      <w:r w:rsidR="005F5C17" w:rsidRPr="005F5C17">
        <w:rPr>
          <w:rFonts w:ascii="Calibri" w:hAnsi="Calibri"/>
          <w:u w:val="single"/>
        </w:rPr>
        <w:t xml:space="preserve"> (przy </w:t>
      </w:r>
      <w:r w:rsidR="005F5C17">
        <w:rPr>
          <w:rFonts w:ascii="Calibri" w:hAnsi="Calibri"/>
          <w:u w:val="single"/>
        </w:rPr>
        <w:t xml:space="preserve">kwotach </w:t>
      </w:r>
      <w:r w:rsidR="005F5C17" w:rsidRPr="005F5C17">
        <w:rPr>
          <w:rFonts w:ascii="Calibri" w:hAnsi="Calibri"/>
          <w:u w:val="single"/>
        </w:rPr>
        <w:t>od 1,00 zł do 99,00 zł), do pełnych dziesiątek złotych (przy kwotach od 100,00 zł do 999,00 zł) lub do pełnych setek złotych ( przy kwotach od 1 000,00 zł)</w:t>
      </w:r>
      <w:r w:rsidRPr="005F5C17">
        <w:rPr>
          <w:rFonts w:ascii="Calibri" w:hAnsi="Calibri"/>
        </w:rPr>
        <w:t xml:space="preserve">. </w:t>
      </w:r>
      <w:r w:rsidR="0086770A">
        <w:rPr>
          <w:rFonts w:ascii="Calibri" w:hAnsi="Calibri"/>
        </w:rPr>
        <w:t>Wskazane m</w:t>
      </w:r>
      <w:r w:rsidRPr="005F5C17">
        <w:rPr>
          <w:rFonts w:ascii="Calibri" w:hAnsi="Calibri"/>
        </w:rPr>
        <w:t>aksymalne ceny są cenami brutto.</w:t>
      </w:r>
    </w:p>
    <w:p w:rsidR="00B20E58" w:rsidRDefault="00B20E58" w:rsidP="00CD33FC">
      <w:pPr>
        <w:spacing w:line="240" w:lineRule="auto"/>
        <w:jc w:val="both"/>
        <w:rPr>
          <w:sz w:val="28"/>
          <w:szCs w:val="28"/>
          <w:u w:val="single"/>
        </w:rPr>
      </w:pPr>
    </w:p>
    <w:p w:rsidR="001B401A" w:rsidRPr="00CE268B" w:rsidRDefault="00406207" w:rsidP="00CD33FC">
      <w:pPr>
        <w:spacing w:line="240" w:lineRule="auto"/>
        <w:jc w:val="both"/>
        <w:rPr>
          <w:sz w:val="28"/>
          <w:szCs w:val="28"/>
          <w:u w:val="single"/>
        </w:rPr>
      </w:pPr>
      <w:r>
        <w:rPr>
          <w:sz w:val="28"/>
          <w:szCs w:val="28"/>
          <w:u w:val="single"/>
        </w:rPr>
        <w:t>Tabela 1</w:t>
      </w:r>
      <w:r w:rsidR="001B401A" w:rsidRPr="00CE268B">
        <w:rPr>
          <w:sz w:val="28"/>
          <w:szCs w:val="28"/>
          <w:u w:val="single"/>
        </w:rPr>
        <w:t>.</w:t>
      </w:r>
    </w:p>
    <w:tbl>
      <w:tblPr>
        <w:tblW w:w="4962" w:type="pct"/>
        <w:tblLayout w:type="fixed"/>
        <w:tblCellMar>
          <w:left w:w="0" w:type="dxa"/>
          <w:right w:w="0" w:type="dxa"/>
        </w:tblCellMar>
        <w:tblLook w:val="04A0"/>
      </w:tblPr>
      <w:tblGrid>
        <w:gridCol w:w="3898"/>
        <w:gridCol w:w="2267"/>
        <w:gridCol w:w="2977"/>
      </w:tblGrid>
      <w:tr w:rsidR="005D43F8" w:rsidRPr="00CE268B" w:rsidTr="007829B2">
        <w:trPr>
          <w:trHeight w:val="414"/>
        </w:trPr>
        <w:tc>
          <w:tcPr>
            <w:tcW w:w="5000" w:type="pct"/>
            <w:gridSpan w:val="3"/>
            <w:tcBorders>
              <w:top w:val="single" w:sz="8" w:space="0" w:color="auto"/>
              <w:left w:val="single" w:sz="8" w:space="0" w:color="auto"/>
              <w:bottom w:val="single" w:sz="8" w:space="0" w:color="auto"/>
              <w:right w:val="single" w:sz="8" w:space="0" w:color="auto"/>
            </w:tcBorders>
            <w:shd w:val="clear" w:color="auto" w:fill="BFBFBF" w:themeFill="background1" w:themeFillShade="BF"/>
            <w:noWrap/>
            <w:tcMar>
              <w:top w:w="0" w:type="dxa"/>
              <w:left w:w="70" w:type="dxa"/>
              <w:bottom w:w="0" w:type="dxa"/>
              <w:right w:w="70" w:type="dxa"/>
            </w:tcMar>
            <w:vAlign w:val="bottom"/>
            <w:hideMark/>
          </w:tcPr>
          <w:p w:rsidR="005D43F8" w:rsidRPr="00CE268B" w:rsidRDefault="005D43F8" w:rsidP="00CD33FC">
            <w:pPr>
              <w:spacing w:after="0" w:line="240" w:lineRule="auto"/>
              <w:jc w:val="center"/>
              <w:rPr>
                <w:rFonts w:eastAsia="Calibri" w:cstheme="minorHAnsi"/>
                <w:b/>
                <w:bCs/>
                <w:color w:val="000000"/>
              </w:rPr>
            </w:pPr>
            <w:r w:rsidRPr="00CE268B">
              <w:rPr>
                <w:rFonts w:eastAsia="Calibri" w:cstheme="minorHAnsi"/>
                <w:b/>
                <w:bCs/>
                <w:color w:val="000000"/>
              </w:rPr>
              <w:t xml:space="preserve">WYNAGRODZENIA  PERSONELU </w:t>
            </w:r>
            <w:r w:rsidR="00D94ABC">
              <w:rPr>
                <w:rFonts w:eastAsia="Calibri" w:cstheme="minorHAnsi"/>
                <w:b/>
                <w:bCs/>
                <w:color w:val="000000"/>
              </w:rPr>
              <w:t>MERYTORYCZNEGO</w:t>
            </w:r>
          </w:p>
        </w:tc>
      </w:tr>
      <w:tr w:rsidR="005D43F8" w:rsidRPr="00CE268B" w:rsidTr="007829B2">
        <w:trPr>
          <w:trHeight w:val="285"/>
        </w:trPr>
        <w:tc>
          <w:tcPr>
            <w:tcW w:w="2132" w:type="pct"/>
            <w:tcBorders>
              <w:top w:val="nil"/>
              <w:left w:val="single" w:sz="8" w:space="0" w:color="auto"/>
              <w:bottom w:val="single" w:sz="8" w:space="0" w:color="auto"/>
              <w:right w:val="single" w:sz="8" w:space="0" w:color="auto"/>
            </w:tcBorders>
            <w:shd w:val="clear" w:color="auto" w:fill="D9D9D9" w:themeFill="background1" w:themeFillShade="D9"/>
            <w:noWrap/>
            <w:tcMar>
              <w:top w:w="0" w:type="dxa"/>
              <w:left w:w="70" w:type="dxa"/>
              <w:bottom w:w="0" w:type="dxa"/>
              <w:right w:w="70" w:type="dxa"/>
            </w:tcMar>
            <w:vAlign w:val="center"/>
            <w:hideMark/>
          </w:tcPr>
          <w:p w:rsidR="005D43F8" w:rsidRPr="00CE268B" w:rsidRDefault="00BD371D" w:rsidP="00C41CB2">
            <w:pPr>
              <w:spacing w:after="0" w:line="240" w:lineRule="auto"/>
              <w:jc w:val="center"/>
              <w:rPr>
                <w:rFonts w:eastAsia="Calibri" w:cstheme="minorHAnsi"/>
                <w:b/>
                <w:bCs/>
                <w:iCs/>
                <w:color w:val="000000"/>
              </w:rPr>
            </w:pPr>
            <w:r>
              <w:rPr>
                <w:rFonts w:eastAsia="Calibri" w:cstheme="minorHAnsi"/>
                <w:b/>
                <w:bCs/>
                <w:iCs/>
                <w:color w:val="000000"/>
              </w:rPr>
              <w:t>R</w:t>
            </w:r>
            <w:r w:rsidR="005D43F8" w:rsidRPr="00CE268B">
              <w:rPr>
                <w:rFonts w:eastAsia="Calibri" w:cstheme="minorHAnsi"/>
                <w:b/>
                <w:bCs/>
                <w:iCs/>
                <w:color w:val="000000"/>
              </w:rPr>
              <w:t xml:space="preserve">odzaj </w:t>
            </w:r>
            <w:r w:rsidR="00C41CB2">
              <w:rPr>
                <w:rFonts w:eastAsia="Calibri" w:cstheme="minorHAnsi"/>
                <w:b/>
                <w:bCs/>
                <w:iCs/>
                <w:color w:val="000000"/>
              </w:rPr>
              <w:t>wynagrodzenia</w:t>
            </w:r>
          </w:p>
        </w:tc>
        <w:tc>
          <w:tcPr>
            <w:tcW w:w="1240" w:type="pct"/>
            <w:tcBorders>
              <w:top w:val="nil"/>
              <w:left w:val="nil"/>
              <w:bottom w:val="single" w:sz="8" w:space="0" w:color="auto"/>
              <w:right w:val="single" w:sz="8" w:space="0" w:color="auto"/>
            </w:tcBorders>
            <w:shd w:val="clear" w:color="auto" w:fill="D9D9D9" w:themeFill="background1" w:themeFillShade="D9"/>
            <w:noWrap/>
            <w:tcMar>
              <w:top w:w="0" w:type="dxa"/>
              <w:left w:w="70" w:type="dxa"/>
              <w:bottom w:w="0" w:type="dxa"/>
              <w:right w:w="70" w:type="dxa"/>
            </w:tcMar>
            <w:vAlign w:val="center"/>
            <w:hideMark/>
          </w:tcPr>
          <w:p w:rsidR="005D43F8" w:rsidRPr="00CE268B" w:rsidRDefault="005D43F8" w:rsidP="008B1039">
            <w:pPr>
              <w:spacing w:after="0" w:line="240" w:lineRule="auto"/>
              <w:jc w:val="center"/>
              <w:rPr>
                <w:rFonts w:eastAsia="Calibri" w:cstheme="minorHAnsi"/>
                <w:b/>
                <w:bCs/>
                <w:iCs/>
                <w:color w:val="000000"/>
              </w:rPr>
            </w:pPr>
            <w:r w:rsidRPr="00CE268B">
              <w:rPr>
                <w:rFonts w:eastAsia="Calibri" w:cstheme="minorHAnsi"/>
                <w:b/>
                <w:bCs/>
                <w:iCs/>
                <w:color w:val="000000"/>
              </w:rPr>
              <w:t>Jednostka</w:t>
            </w:r>
          </w:p>
        </w:tc>
        <w:tc>
          <w:tcPr>
            <w:tcW w:w="1628" w:type="pct"/>
            <w:tcBorders>
              <w:top w:val="nil"/>
              <w:left w:val="nil"/>
              <w:bottom w:val="single" w:sz="8" w:space="0" w:color="auto"/>
              <w:right w:val="single" w:sz="8" w:space="0" w:color="auto"/>
            </w:tcBorders>
            <w:shd w:val="clear" w:color="auto" w:fill="D9D9D9" w:themeFill="background1" w:themeFillShade="D9"/>
            <w:vAlign w:val="center"/>
          </w:tcPr>
          <w:p w:rsidR="005D43F8" w:rsidRPr="00CE268B" w:rsidRDefault="00D76F20" w:rsidP="00AE3CDA">
            <w:pPr>
              <w:spacing w:after="0" w:line="240" w:lineRule="auto"/>
              <w:jc w:val="center"/>
              <w:rPr>
                <w:rFonts w:eastAsia="Calibri" w:cstheme="minorHAnsi"/>
                <w:b/>
                <w:bCs/>
                <w:iCs/>
                <w:color w:val="000000"/>
              </w:rPr>
            </w:pPr>
            <w:r>
              <w:rPr>
                <w:rFonts w:eastAsia="Calibri" w:cstheme="minorHAnsi"/>
                <w:b/>
                <w:bCs/>
                <w:iCs/>
                <w:color w:val="000000"/>
              </w:rPr>
              <w:t xml:space="preserve">Maksymalna </w:t>
            </w:r>
            <w:r w:rsidR="005D43F8" w:rsidRPr="00CE268B">
              <w:rPr>
                <w:rFonts w:eastAsia="Calibri" w:cstheme="minorHAnsi"/>
                <w:b/>
                <w:bCs/>
                <w:iCs/>
                <w:color w:val="000000"/>
              </w:rPr>
              <w:t xml:space="preserve">dopuszczalna stawka </w:t>
            </w:r>
            <w:r w:rsidR="005D43F8" w:rsidRPr="00CE268B">
              <w:rPr>
                <w:rFonts w:eastAsia="Calibri" w:cstheme="minorHAnsi"/>
                <w:b/>
                <w:bCs/>
                <w:iCs/>
                <w:color w:val="000000"/>
              </w:rPr>
              <w:br/>
              <w:t xml:space="preserve"> (całkowity koszt pracodawcy)*</w:t>
            </w:r>
          </w:p>
        </w:tc>
      </w:tr>
      <w:tr w:rsidR="009B42BC" w:rsidRPr="00CE268B" w:rsidTr="00241EF9">
        <w:trPr>
          <w:trHeight w:val="448"/>
        </w:trPr>
        <w:tc>
          <w:tcPr>
            <w:tcW w:w="2132"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rsidR="009B42BC" w:rsidRPr="00A55A01" w:rsidRDefault="00611C7C" w:rsidP="00A22D17">
            <w:pPr>
              <w:spacing w:after="0" w:line="240" w:lineRule="auto"/>
              <w:jc w:val="center"/>
              <w:rPr>
                <w:rFonts w:eastAsia="Calibri" w:cstheme="minorHAnsi"/>
                <w:color w:val="000000" w:themeColor="text1"/>
                <w:szCs w:val="20"/>
              </w:rPr>
            </w:pPr>
            <w:r w:rsidRPr="00A55A01">
              <w:rPr>
                <w:color w:val="000000" w:themeColor="text1"/>
                <w:szCs w:val="20"/>
              </w:rPr>
              <w:t xml:space="preserve">Wynagrodzenie doradcy </w:t>
            </w:r>
            <w:r w:rsidR="00A22D17">
              <w:rPr>
                <w:color w:val="000000" w:themeColor="text1"/>
                <w:szCs w:val="20"/>
              </w:rPr>
              <w:t>EURES</w:t>
            </w:r>
          </w:p>
        </w:tc>
        <w:tc>
          <w:tcPr>
            <w:tcW w:w="1240"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rsidR="009B42BC" w:rsidRPr="00A55A01" w:rsidRDefault="00A22D17" w:rsidP="00241EF9">
            <w:pPr>
              <w:spacing w:line="240" w:lineRule="auto"/>
              <w:jc w:val="center"/>
              <w:rPr>
                <w:color w:val="000000" w:themeColor="text1"/>
                <w:szCs w:val="20"/>
              </w:rPr>
            </w:pPr>
            <w:r>
              <w:rPr>
                <w:color w:val="000000" w:themeColor="text1"/>
                <w:szCs w:val="20"/>
              </w:rPr>
              <w:t>etat</w:t>
            </w:r>
          </w:p>
        </w:tc>
        <w:tc>
          <w:tcPr>
            <w:tcW w:w="1628" w:type="pct"/>
            <w:tcBorders>
              <w:top w:val="single" w:sz="4" w:space="0" w:color="auto"/>
              <w:left w:val="single" w:sz="4" w:space="0" w:color="auto"/>
              <w:bottom w:val="single" w:sz="4" w:space="0" w:color="auto"/>
              <w:right w:val="single" w:sz="4" w:space="0" w:color="auto"/>
            </w:tcBorders>
            <w:vAlign w:val="center"/>
          </w:tcPr>
          <w:p w:rsidR="009B42BC" w:rsidRPr="00A55A01" w:rsidRDefault="00A22D17" w:rsidP="00A22D17">
            <w:pPr>
              <w:spacing w:after="0" w:line="240" w:lineRule="auto"/>
              <w:jc w:val="center"/>
              <w:rPr>
                <w:rFonts w:eastAsia="Calibri" w:cstheme="minorHAnsi"/>
                <w:color w:val="000000" w:themeColor="text1"/>
                <w:szCs w:val="20"/>
                <w:highlight w:val="yellow"/>
              </w:rPr>
            </w:pPr>
            <w:r>
              <w:rPr>
                <w:color w:val="000000" w:themeColor="text1"/>
                <w:szCs w:val="20"/>
              </w:rPr>
              <w:t xml:space="preserve">Wynagrodzenie zgodne </w:t>
            </w:r>
            <w:r>
              <w:rPr>
                <w:color w:val="000000" w:themeColor="text1"/>
                <w:szCs w:val="20"/>
              </w:rPr>
              <w:br/>
              <w:t>z Regulaminem Wynagradzania Pracowników Dolnośląskiego Wojewódzkiego Urzędu Pracy</w:t>
            </w:r>
          </w:p>
        </w:tc>
      </w:tr>
    </w:tbl>
    <w:p w:rsidR="00BA7B2E" w:rsidRPr="00406207" w:rsidRDefault="00241EF9" w:rsidP="00406207">
      <w:pPr>
        <w:spacing w:line="240" w:lineRule="auto"/>
        <w:jc w:val="both"/>
        <w:rPr>
          <w:color w:val="000000" w:themeColor="text1"/>
          <w:sz w:val="20"/>
          <w:szCs w:val="20"/>
        </w:rPr>
      </w:pPr>
      <w:r w:rsidRPr="00241EF9">
        <w:rPr>
          <w:color w:val="000000" w:themeColor="text1"/>
          <w:sz w:val="20"/>
          <w:szCs w:val="20"/>
        </w:rPr>
        <w:t>*</w:t>
      </w:r>
      <w:r>
        <w:rPr>
          <w:color w:val="000000" w:themeColor="text1"/>
          <w:sz w:val="20"/>
          <w:szCs w:val="20"/>
        </w:rPr>
        <w:t xml:space="preserve"> kwota zawiera koszty pracodawcy</w:t>
      </w:r>
    </w:p>
    <w:p w:rsidR="00B20E58" w:rsidRDefault="00B20E58" w:rsidP="00E7579C">
      <w:pPr>
        <w:spacing w:after="0" w:line="240" w:lineRule="auto"/>
        <w:jc w:val="both"/>
        <w:rPr>
          <w:sz w:val="28"/>
          <w:szCs w:val="28"/>
          <w:u w:val="single"/>
        </w:rPr>
      </w:pPr>
    </w:p>
    <w:p w:rsidR="004568D3" w:rsidRDefault="00DB29A3" w:rsidP="00E7579C">
      <w:pPr>
        <w:spacing w:line="240" w:lineRule="auto"/>
        <w:jc w:val="both"/>
        <w:rPr>
          <w:sz w:val="28"/>
          <w:szCs w:val="28"/>
          <w:u w:val="single"/>
        </w:rPr>
      </w:pPr>
      <w:r w:rsidRPr="004D77C0">
        <w:rPr>
          <w:sz w:val="28"/>
          <w:szCs w:val="28"/>
          <w:u w:val="single"/>
        </w:rPr>
        <w:t xml:space="preserve">Tabela </w:t>
      </w:r>
      <w:r w:rsidR="00406207">
        <w:rPr>
          <w:sz w:val="28"/>
          <w:szCs w:val="28"/>
          <w:u w:val="single"/>
        </w:rPr>
        <w:t>2</w:t>
      </w:r>
      <w:r w:rsidRPr="004D77C0">
        <w:rPr>
          <w:sz w:val="28"/>
          <w:szCs w:val="28"/>
          <w:u w:val="single"/>
        </w:rPr>
        <w:t>.</w:t>
      </w:r>
    </w:p>
    <w:tbl>
      <w:tblPr>
        <w:tblStyle w:val="Tabela-Siatka"/>
        <w:tblW w:w="0" w:type="auto"/>
        <w:tblLayout w:type="fixed"/>
        <w:tblLook w:val="04A0"/>
      </w:tblPr>
      <w:tblGrid>
        <w:gridCol w:w="3510"/>
        <w:gridCol w:w="1560"/>
        <w:gridCol w:w="4110"/>
      </w:tblGrid>
      <w:tr w:rsidR="005B2551" w:rsidRPr="005E6CAE" w:rsidTr="00E356E4">
        <w:tc>
          <w:tcPr>
            <w:tcW w:w="9180" w:type="dxa"/>
            <w:gridSpan w:val="3"/>
            <w:shd w:val="clear" w:color="auto" w:fill="BFBFBF" w:themeFill="background1" w:themeFillShade="BF"/>
            <w:vAlign w:val="center"/>
          </w:tcPr>
          <w:p w:rsidR="00037541" w:rsidRDefault="004568D3" w:rsidP="00E356E4">
            <w:pPr>
              <w:jc w:val="center"/>
              <w:rPr>
                <w:rFonts w:cstheme="minorHAnsi"/>
                <w:b/>
                <w:sz w:val="24"/>
                <w:szCs w:val="24"/>
              </w:rPr>
            </w:pPr>
            <w:r>
              <w:rPr>
                <w:rFonts w:cstheme="minorHAnsi"/>
                <w:b/>
                <w:sz w:val="24"/>
                <w:szCs w:val="24"/>
              </w:rPr>
              <w:t>NOCLEG, ZWROT KOSZTÓW DOJAZDU,</w:t>
            </w:r>
          </w:p>
          <w:p w:rsidR="00037541" w:rsidRPr="005E6CAE" w:rsidRDefault="008F7DAD" w:rsidP="00814EEB">
            <w:pPr>
              <w:jc w:val="center"/>
              <w:rPr>
                <w:rFonts w:cstheme="minorHAnsi"/>
                <w:b/>
                <w:sz w:val="24"/>
                <w:szCs w:val="24"/>
              </w:rPr>
            </w:pPr>
            <w:r>
              <w:rPr>
                <w:rFonts w:cstheme="minorHAnsi"/>
                <w:b/>
                <w:sz w:val="24"/>
                <w:szCs w:val="24"/>
              </w:rPr>
              <w:t>STYPENDI</w:t>
            </w:r>
            <w:r w:rsidR="0086770A">
              <w:rPr>
                <w:rFonts w:cstheme="minorHAnsi"/>
                <w:b/>
                <w:sz w:val="24"/>
                <w:szCs w:val="24"/>
              </w:rPr>
              <w:t xml:space="preserve">A </w:t>
            </w:r>
          </w:p>
        </w:tc>
      </w:tr>
      <w:tr w:rsidR="005B2551" w:rsidRPr="005E6CAE" w:rsidTr="001C5F71">
        <w:tc>
          <w:tcPr>
            <w:tcW w:w="3510" w:type="dxa"/>
            <w:shd w:val="clear" w:color="auto" w:fill="D9D9D9" w:themeFill="background1" w:themeFillShade="D9"/>
            <w:vAlign w:val="center"/>
          </w:tcPr>
          <w:p w:rsidR="005B2551" w:rsidRPr="005E6CAE" w:rsidRDefault="00C41CB2" w:rsidP="00E356E4">
            <w:pPr>
              <w:spacing w:line="480" w:lineRule="auto"/>
              <w:jc w:val="center"/>
              <w:rPr>
                <w:rFonts w:cstheme="minorHAnsi"/>
                <w:u w:val="single"/>
              </w:rPr>
            </w:pPr>
            <w:r>
              <w:rPr>
                <w:rFonts w:cstheme="minorHAnsi"/>
                <w:b/>
              </w:rPr>
              <w:t>R</w:t>
            </w:r>
            <w:r w:rsidR="005B2551" w:rsidRPr="00E02120">
              <w:rPr>
                <w:rFonts w:cstheme="minorHAnsi"/>
                <w:b/>
              </w:rPr>
              <w:t>odzaj wydatku</w:t>
            </w:r>
          </w:p>
        </w:tc>
        <w:tc>
          <w:tcPr>
            <w:tcW w:w="1560" w:type="dxa"/>
            <w:shd w:val="clear" w:color="auto" w:fill="D9D9D9" w:themeFill="background1" w:themeFillShade="D9"/>
            <w:vAlign w:val="center"/>
          </w:tcPr>
          <w:p w:rsidR="005B2551" w:rsidRPr="005E6CAE" w:rsidRDefault="005B2551" w:rsidP="00E356E4">
            <w:pPr>
              <w:jc w:val="center"/>
              <w:rPr>
                <w:rFonts w:cstheme="minorHAnsi"/>
                <w:b/>
              </w:rPr>
            </w:pPr>
            <w:r>
              <w:rPr>
                <w:rFonts w:cstheme="minorHAnsi"/>
                <w:b/>
              </w:rPr>
              <w:t>jednostka</w:t>
            </w:r>
          </w:p>
        </w:tc>
        <w:tc>
          <w:tcPr>
            <w:tcW w:w="4110" w:type="dxa"/>
            <w:shd w:val="clear" w:color="auto" w:fill="D9D9D9" w:themeFill="background1" w:themeFillShade="D9"/>
            <w:vAlign w:val="center"/>
          </w:tcPr>
          <w:p w:rsidR="005B2551" w:rsidRPr="005E6CAE" w:rsidRDefault="007D16AC" w:rsidP="00E356E4">
            <w:pPr>
              <w:jc w:val="center"/>
              <w:rPr>
                <w:rFonts w:cstheme="minorHAnsi"/>
                <w:b/>
              </w:rPr>
            </w:pPr>
            <w:r>
              <w:rPr>
                <w:rFonts w:eastAsia="Calibri" w:cstheme="minorHAnsi"/>
                <w:b/>
                <w:bCs/>
                <w:iCs/>
                <w:color w:val="000000"/>
              </w:rPr>
              <w:t>Maksymalna</w:t>
            </w:r>
            <w:r>
              <w:rPr>
                <w:rFonts w:cstheme="minorHAnsi"/>
                <w:b/>
              </w:rPr>
              <w:t xml:space="preserve"> </w:t>
            </w:r>
            <w:r w:rsidR="005B2551">
              <w:rPr>
                <w:rFonts w:cstheme="minorHAnsi"/>
                <w:b/>
              </w:rPr>
              <w:t>dopuszczalna</w:t>
            </w:r>
            <w:r w:rsidR="005B2551" w:rsidRPr="005E6CAE">
              <w:rPr>
                <w:rFonts w:cstheme="minorHAnsi"/>
                <w:b/>
              </w:rPr>
              <w:t xml:space="preserve"> stawka na osobę</w:t>
            </w:r>
          </w:p>
        </w:tc>
      </w:tr>
      <w:tr w:rsidR="0028196D" w:rsidRPr="005E6CAE" w:rsidTr="001C5F71">
        <w:trPr>
          <w:trHeight w:val="805"/>
        </w:trPr>
        <w:tc>
          <w:tcPr>
            <w:tcW w:w="3510" w:type="dxa"/>
            <w:vAlign w:val="center"/>
          </w:tcPr>
          <w:p w:rsidR="0028196D" w:rsidRPr="00A646D5" w:rsidRDefault="0028196D" w:rsidP="00E356E4">
            <w:pPr>
              <w:jc w:val="center"/>
              <w:rPr>
                <w:rFonts w:cstheme="minorHAnsi"/>
                <w:vertAlign w:val="superscript"/>
              </w:rPr>
            </w:pPr>
            <w:r w:rsidRPr="00A646D5">
              <w:rPr>
                <w:rFonts w:cstheme="minorHAnsi"/>
              </w:rPr>
              <w:t>Nocleg w kraju</w:t>
            </w:r>
            <w:r w:rsidR="00BA3B75" w:rsidRPr="00A646D5">
              <w:rPr>
                <w:rFonts w:cstheme="minorHAnsi"/>
              </w:rPr>
              <w:t xml:space="preserve"> (koszt jednej doby)</w:t>
            </w:r>
            <w:r w:rsidR="00965AB2" w:rsidRPr="00A646D5">
              <w:rPr>
                <w:rFonts w:cstheme="minorHAnsi"/>
              </w:rPr>
              <w:t>*</w:t>
            </w:r>
          </w:p>
        </w:tc>
        <w:tc>
          <w:tcPr>
            <w:tcW w:w="1560" w:type="dxa"/>
            <w:vAlign w:val="center"/>
          </w:tcPr>
          <w:p w:rsidR="0028196D" w:rsidRDefault="00C77D3E" w:rsidP="001C5F71">
            <w:pPr>
              <w:jc w:val="center"/>
              <w:rPr>
                <w:rFonts w:cstheme="minorHAnsi"/>
              </w:rPr>
            </w:pPr>
            <w:r>
              <w:rPr>
                <w:rFonts w:cstheme="minorHAnsi"/>
              </w:rPr>
              <w:t>pokój 2-osobowy</w:t>
            </w:r>
          </w:p>
        </w:tc>
        <w:tc>
          <w:tcPr>
            <w:tcW w:w="4110" w:type="dxa"/>
            <w:vAlign w:val="center"/>
          </w:tcPr>
          <w:p w:rsidR="0028196D" w:rsidRPr="00C77D3E" w:rsidRDefault="00D638AC" w:rsidP="001C5F71">
            <w:pPr>
              <w:jc w:val="center"/>
              <w:rPr>
                <w:rFonts w:cstheme="minorHAnsi"/>
                <w:color w:val="000000" w:themeColor="text1"/>
              </w:rPr>
            </w:pPr>
            <w:r w:rsidRPr="00C77D3E">
              <w:rPr>
                <w:rFonts w:cstheme="minorHAnsi"/>
                <w:color w:val="000000" w:themeColor="text1"/>
              </w:rPr>
              <w:t>1</w:t>
            </w:r>
            <w:r w:rsidR="005F5C17">
              <w:rPr>
                <w:rFonts w:cstheme="minorHAnsi"/>
                <w:color w:val="000000" w:themeColor="text1"/>
              </w:rPr>
              <w:t>80</w:t>
            </w:r>
            <w:r w:rsidR="009B6227" w:rsidRPr="00C77D3E">
              <w:rPr>
                <w:rFonts w:cstheme="minorHAnsi"/>
                <w:color w:val="000000" w:themeColor="text1"/>
              </w:rPr>
              <w:t>,00 zł</w:t>
            </w:r>
          </w:p>
        </w:tc>
      </w:tr>
      <w:tr w:rsidR="0028196D" w:rsidRPr="005E6CAE" w:rsidTr="001C5F71">
        <w:trPr>
          <w:trHeight w:val="939"/>
        </w:trPr>
        <w:tc>
          <w:tcPr>
            <w:tcW w:w="3510" w:type="dxa"/>
            <w:vAlign w:val="center"/>
          </w:tcPr>
          <w:p w:rsidR="0028196D" w:rsidRPr="00A646D5" w:rsidRDefault="00D067F5" w:rsidP="00406207">
            <w:pPr>
              <w:jc w:val="center"/>
              <w:rPr>
                <w:rFonts w:cstheme="minorHAnsi"/>
              </w:rPr>
            </w:pPr>
            <w:r w:rsidRPr="00A646D5">
              <w:rPr>
                <w:rFonts w:cstheme="minorHAnsi"/>
              </w:rPr>
              <w:t>Zwrot kosztów dojazdu</w:t>
            </w:r>
            <w:r w:rsidR="00406207">
              <w:rPr>
                <w:rFonts w:cstheme="minorHAnsi"/>
              </w:rPr>
              <w:t>**</w:t>
            </w:r>
          </w:p>
        </w:tc>
        <w:tc>
          <w:tcPr>
            <w:tcW w:w="1560" w:type="dxa"/>
            <w:vAlign w:val="center"/>
          </w:tcPr>
          <w:p w:rsidR="0028196D" w:rsidRDefault="0070354A" w:rsidP="001C5F71">
            <w:pPr>
              <w:jc w:val="center"/>
              <w:rPr>
                <w:rFonts w:cstheme="minorHAnsi"/>
              </w:rPr>
            </w:pPr>
            <w:r>
              <w:rPr>
                <w:rFonts w:cstheme="minorHAnsi"/>
              </w:rPr>
              <w:t>ilość przejazdów</w:t>
            </w:r>
          </w:p>
        </w:tc>
        <w:tc>
          <w:tcPr>
            <w:tcW w:w="4110" w:type="dxa"/>
            <w:vAlign w:val="center"/>
          </w:tcPr>
          <w:p w:rsidR="00433AC9" w:rsidRPr="002452CC" w:rsidRDefault="0026768D" w:rsidP="00E356E4">
            <w:pPr>
              <w:jc w:val="center"/>
              <w:rPr>
                <w:rFonts w:cstheme="minorHAnsi"/>
              </w:rPr>
            </w:pPr>
            <w:r w:rsidRPr="002452CC">
              <w:rPr>
                <w:rFonts w:eastAsia="Times New Roman" w:cs="Arial"/>
              </w:rPr>
              <w:t xml:space="preserve">Równowartość kosztu najtańszego środka transportu publicznego </w:t>
            </w:r>
            <w:r w:rsidR="00ED5C8B" w:rsidRPr="002452CC">
              <w:rPr>
                <w:rFonts w:eastAsia="Times New Roman" w:cs="Arial"/>
              </w:rPr>
              <w:br/>
            </w:r>
            <w:r w:rsidRPr="002452CC">
              <w:rPr>
                <w:rFonts w:eastAsia="Times New Roman" w:cs="Arial"/>
              </w:rPr>
              <w:t>na danej trasie</w:t>
            </w:r>
          </w:p>
        </w:tc>
      </w:tr>
      <w:tr w:rsidR="00D171E1" w:rsidRPr="005E6CAE" w:rsidTr="001C5F71">
        <w:trPr>
          <w:trHeight w:val="975"/>
        </w:trPr>
        <w:tc>
          <w:tcPr>
            <w:tcW w:w="3510" w:type="dxa"/>
            <w:vAlign w:val="center"/>
          </w:tcPr>
          <w:p w:rsidR="00D171E1" w:rsidRPr="00A646D5" w:rsidRDefault="00D171E1" w:rsidP="00672453">
            <w:pPr>
              <w:jc w:val="center"/>
              <w:rPr>
                <w:rFonts w:cstheme="minorHAnsi"/>
              </w:rPr>
            </w:pPr>
            <w:r w:rsidRPr="00A646D5">
              <w:rPr>
                <w:rFonts w:cstheme="minorHAnsi"/>
              </w:rPr>
              <w:lastRenderedPageBreak/>
              <w:t xml:space="preserve">Stypendium </w:t>
            </w:r>
            <w:r w:rsidR="00ED5C8B" w:rsidRPr="00A646D5">
              <w:rPr>
                <w:rFonts w:cstheme="minorHAnsi"/>
              </w:rPr>
              <w:t>szkoleniowe</w:t>
            </w:r>
          </w:p>
        </w:tc>
        <w:tc>
          <w:tcPr>
            <w:tcW w:w="1560" w:type="dxa"/>
            <w:vAlign w:val="center"/>
          </w:tcPr>
          <w:p w:rsidR="00D171E1" w:rsidRDefault="00D171E1" w:rsidP="001C5F71">
            <w:pPr>
              <w:jc w:val="center"/>
              <w:rPr>
                <w:rFonts w:cstheme="minorHAnsi"/>
              </w:rPr>
            </w:pPr>
            <w:r>
              <w:rPr>
                <w:rFonts w:cstheme="minorHAnsi"/>
              </w:rPr>
              <w:t>miesiąc</w:t>
            </w:r>
          </w:p>
        </w:tc>
        <w:tc>
          <w:tcPr>
            <w:tcW w:w="4110" w:type="dxa"/>
            <w:vAlign w:val="center"/>
          </w:tcPr>
          <w:p w:rsidR="00D171E1" w:rsidRPr="002452CC" w:rsidRDefault="00672453" w:rsidP="00E356E4">
            <w:pPr>
              <w:jc w:val="center"/>
              <w:rPr>
                <w:rFonts w:cstheme="minorHAnsi"/>
                <w:color w:val="000000" w:themeColor="text1"/>
              </w:rPr>
            </w:pPr>
            <w:r>
              <w:rPr>
                <w:color w:val="000000" w:themeColor="text1"/>
              </w:rPr>
              <w:t xml:space="preserve">Nie więcej niż </w:t>
            </w:r>
            <w:r w:rsidR="004C0318" w:rsidRPr="002452CC">
              <w:rPr>
                <w:color w:val="000000" w:themeColor="text1"/>
              </w:rPr>
              <w:t xml:space="preserve">120 % kwoty zasiłku, </w:t>
            </w:r>
            <w:r w:rsidR="001C5F71">
              <w:rPr>
                <w:color w:val="000000" w:themeColor="text1"/>
              </w:rPr>
              <w:br/>
            </w:r>
            <w:r w:rsidR="004C0318" w:rsidRPr="002452CC">
              <w:rPr>
                <w:color w:val="000000" w:themeColor="text1"/>
              </w:rPr>
              <w:t xml:space="preserve">o którym mowa w </w:t>
            </w:r>
            <w:r w:rsidR="0086770A">
              <w:rPr>
                <w:color w:val="000000" w:themeColor="text1"/>
              </w:rPr>
              <w:t>art</w:t>
            </w:r>
            <w:r w:rsidR="004C0318" w:rsidRPr="002452CC">
              <w:rPr>
                <w:color w:val="000000" w:themeColor="text1"/>
              </w:rPr>
              <w:t xml:space="preserve">. 72 ust. 1 pkt. 1 </w:t>
            </w:r>
            <w:r w:rsidR="004C0318" w:rsidRPr="002452CC">
              <w:rPr>
                <w:i/>
                <w:color w:val="000000" w:themeColor="text1"/>
              </w:rPr>
              <w:t xml:space="preserve">Ustawy o promocji zatrudnienia </w:t>
            </w:r>
            <w:r>
              <w:rPr>
                <w:i/>
                <w:color w:val="000000" w:themeColor="text1"/>
              </w:rPr>
              <w:br/>
            </w:r>
            <w:r w:rsidR="004C0318" w:rsidRPr="002452CC">
              <w:rPr>
                <w:i/>
                <w:color w:val="000000" w:themeColor="text1"/>
              </w:rPr>
              <w:t>i instytucjach rynku pracy</w:t>
            </w:r>
          </w:p>
        </w:tc>
      </w:tr>
    </w:tbl>
    <w:p w:rsidR="00B20E58" w:rsidRDefault="00B20E58" w:rsidP="00E356E4">
      <w:pPr>
        <w:spacing w:after="0" w:line="240" w:lineRule="auto"/>
        <w:jc w:val="both"/>
        <w:rPr>
          <w:sz w:val="20"/>
          <w:szCs w:val="20"/>
        </w:rPr>
      </w:pPr>
    </w:p>
    <w:p w:rsidR="0095105E" w:rsidRDefault="0028196D" w:rsidP="00E356E4">
      <w:pPr>
        <w:spacing w:after="0" w:line="240" w:lineRule="auto"/>
        <w:jc w:val="both"/>
        <w:rPr>
          <w:rFonts w:ascii="Calibri" w:eastAsia="Calibri" w:hAnsi="Calibri" w:cs="Times New Roman"/>
          <w:sz w:val="20"/>
          <w:szCs w:val="20"/>
        </w:rPr>
      </w:pPr>
      <w:r w:rsidRPr="0028196D">
        <w:rPr>
          <w:sz w:val="20"/>
          <w:szCs w:val="20"/>
        </w:rPr>
        <w:t>*</w:t>
      </w:r>
      <w:r w:rsidR="002E0E0A">
        <w:rPr>
          <w:rFonts w:cstheme="minorHAnsi"/>
          <w:sz w:val="20"/>
          <w:szCs w:val="20"/>
        </w:rPr>
        <w:t>Usługa powinna być zamawiana co</w:t>
      </w:r>
      <w:r w:rsidR="009D4555">
        <w:rPr>
          <w:rFonts w:cstheme="minorHAnsi"/>
          <w:sz w:val="20"/>
          <w:szCs w:val="20"/>
        </w:rPr>
        <w:t xml:space="preserve"> do zasady w przypadku </w:t>
      </w:r>
      <w:r w:rsidR="0095105E" w:rsidRPr="00933E07">
        <w:rPr>
          <w:rFonts w:ascii="Calibri" w:eastAsia="Calibri" w:hAnsi="Calibri" w:cs="Times New Roman"/>
          <w:sz w:val="20"/>
          <w:szCs w:val="20"/>
        </w:rPr>
        <w:t>szkoleń</w:t>
      </w:r>
      <w:r w:rsidR="0095105E">
        <w:rPr>
          <w:rFonts w:ascii="Calibri" w:eastAsia="Calibri" w:hAnsi="Calibri" w:cs="Times New Roman"/>
          <w:sz w:val="20"/>
          <w:szCs w:val="20"/>
        </w:rPr>
        <w:t>, warsztatów, seminariów, konferencji</w:t>
      </w:r>
    </w:p>
    <w:p w:rsidR="00D067F5" w:rsidRDefault="002E0E0A" w:rsidP="00E356E4">
      <w:pPr>
        <w:spacing w:line="240" w:lineRule="auto"/>
        <w:jc w:val="both"/>
        <w:rPr>
          <w:rFonts w:cstheme="minorHAnsi"/>
          <w:sz w:val="20"/>
          <w:szCs w:val="20"/>
        </w:rPr>
      </w:pPr>
      <w:r>
        <w:rPr>
          <w:rFonts w:cstheme="minorHAnsi"/>
          <w:sz w:val="20"/>
          <w:szCs w:val="20"/>
        </w:rPr>
        <w:t>co najmniej dwudniowych, jednocześnie możliwość zagwarantowania noclegu należy ograniczyć dla uczestników, którzy posiadają miejsce zamieszkania w miejscowości innej niż miejscowość</w:t>
      </w:r>
      <w:r w:rsidR="0095105E">
        <w:rPr>
          <w:rFonts w:cstheme="minorHAnsi"/>
          <w:sz w:val="20"/>
          <w:szCs w:val="20"/>
        </w:rPr>
        <w:t>,</w:t>
      </w:r>
      <w:r>
        <w:rPr>
          <w:rFonts w:cstheme="minorHAnsi"/>
          <w:sz w:val="20"/>
          <w:szCs w:val="20"/>
        </w:rPr>
        <w:t xml:space="preserve"> w której odbywa się szkolenie.</w:t>
      </w:r>
    </w:p>
    <w:p w:rsidR="00A30E94" w:rsidRPr="00881D6D" w:rsidRDefault="00A30E94" w:rsidP="00881D6D">
      <w:pPr>
        <w:spacing w:after="0" w:line="240" w:lineRule="auto"/>
        <w:jc w:val="both"/>
        <w:rPr>
          <w:rFonts w:ascii="Calibri" w:eastAsia="Calibri" w:hAnsi="Calibri" w:cs="Times New Roman"/>
          <w:sz w:val="20"/>
          <w:szCs w:val="20"/>
        </w:rPr>
      </w:pPr>
      <w:r>
        <w:rPr>
          <w:rFonts w:cstheme="minorHAnsi"/>
          <w:sz w:val="20"/>
          <w:szCs w:val="20"/>
        </w:rPr>
        <w:t xml:space="preserve">W przypadku </w:t>
      </w:r>
      <w:r w:rsidR="00881D6D" w:rsidRPr="00933E07">
        <w:rPr>
          <w:rFonts w:ascii="Calibri" w:eastAsia="Calibri" w:hAnsi="Calibri" w:cs="Times New Roman"/>
          <w:sz w:val="20"/>
          <w:szCs w:val="20"/>
        </w:rPr>
        <w:t>szkoleń</w:t>
      </w:r>
      <w:r w:rsidR="00881D6D">
        <w:rPr>
          <w:rFonts w:ascii="Calibri" w:eastAsia="Calibri" w:hAnsi="Calibri" w:cs="Times New Roman"/>
          <w:sz w:val="20"/>
          <w:szCs w:val="20"/>
        </w:rPr>
        <w:t>, warsztatów, seminariów, konferencji</w:t>
      </w:r>
      <w:r>
        <w:rPr>
          <w:rFonts w:cstheme="minorHAnsi"/>
          <w:sz w:val="20"/>
          <w:szCs w:val="20"/>
        </w:rPr>
        <w:t xml:space="preserve"> jednodniowych istnieje możliwość poniesienia </w:t>
      </w:r>
      <w:r w:rsidR="00881D6D">
        <w:rPr>
          <w:rFonts w:cstheme="minorHAnsi"/>
          <w:sz w:val="20"/>
          <w:szCs w:val="20"/>
        </w:rPr>
        <w:br/>
      </w:r>
      <w:r>
        <w:rPr>
          <w:rFonts w:cstheme="minorHAnsi"/>
          <w:sz w:val="20"/>
          <w:szCs w:val="20"/>
        </w:rPr>
        <w:t xml:space="preserve">w </w:t>
      </w:r>
      <w:r w:rsidR="00B812BD">
        <w:rPr>
          <w:rFonts w:cstheme="minorHAnsi"/>
          <w:sz w:val="20"/>
          <w:szCs w:val="20"/>
        </w:rPr>
        <w:t>projekcie</w:t>
      </w:r>
      <w:r>
        <w:rPr>
          <w:rFonts w:cstheme="minorHAnsi"/>
          <w:sz w:val="20"/>
          <w:szCs w:val="20"/>
        </w:rPr>
        <w:t xml:space="preserve"> ww. kosztu w sytuacji, gdy miejsce prowadzenia </w:t>
      </w:r>
      <w:r w:rsidR="00881D6D" w:rsidRPr="00933E07">
        <w:rPr>
          <w:rFonts w:ascii="Calibri" w:eastAsia="Calibri" w:hAnsi="Calibri" w:cs="Times New Roman"/>
          <w:sz w:val="20"/>
          <w:szCs w:val="20"/>
        </w:rPr>
        <w:t>szkole</w:t>
      </w:r>
      <w:r w:rsidR="00881D6D">
        <w:rPr>
          <w:rFonts w:ascii="Calibri" w:eastAsia="Calibri" w:hAnsi="Calibri" w:cs="Times New Roman"/>
          <w:sz w:val="20"/>
          <w:szCs w:val="20"/>
        </w:rPr>
        <w:t xml:space="preserve">nia, warsztatów, seminariów, konferencji </w:t>
      </w:r>
      <w:r>
        <w:rPr>
          <w:rFonts w:cstheme="minorHAnsi"/>
          <w:sz w:val="20"/>
          <w:szCs w:val="20"/>
        </w:rPr>
        <w:t>jest znacznie oddalone od miejsca zamieszkania osoby w nim uczestniczącej.</w:t>
      </w:r>
    </w:p>
    <w:p w:rsidR="009D4555" w:rsidRDefault="009D4555" w:rsidP="009D4555">
      <w:pPr>
        <w:spacing w:line="240" w:lineRule="auto"/>
        <w:jc w:val="both"/>
        <w:rPr>
          <w:rFonts w:cstheme="minorHAnsi"/>
          <w:sz w:val="20"/>
          <w:szCs w:val="20"/>
        </w:rPr>
      </w:pPr>
      <w:r>
        <w:rPr>
          <w:rFonts w:cstheme="minorHAnsi"/>
          <w:sz w:val="20"/>
          <w:szCs w:val="20"/>
        </w:rPr>
        <w:t>O</w:t>
      </w:r>
      <w:r w:rsidRPr="009D4555">
        <w:rPr>
          <w:rFonts w:cstheme="minorHAnsi"/>
          <w:sz w:val="20"/>
          <w:szCs w:val="20"/>
        </w:rPr>
        <w:t>bejmuje nocleg w miejscu noclegowym o standardzie maksymalnie hotelu 3* wraz ze śniadaniem, przy czym istniej</w:t>
      </w:r>
      <w:r>
        <w:rPr>
          <w:rFonts w:cstheme="minorHAnsi"/>
          <w:sz w:val="20"/>
          <w:szCs w:val="20"/>
        </w:rPr>
        <w:t>e</w:t>
      </w:r>
      <w:r w:rsidRPr="009D4555">
        <w:rPr>
          <w:rFonts w:cstheme="minorHAnsi"/>
          <w:sz w:val="20"/>
          <w:szCs w:val="20"/>
        </w:rPr>
        <w:t xml:space="preserve"> możliwość szerszego zakresu usługi, o ile mieści się w określonej cenie rynkowej i jest </w:t>
      </w:r>
      <w:r>
        <w:rPr>
          <w:rFonts w:cstheme="minorHAnsi"/>
          <w:sz w:val="20"/>
          <w:szCs w:val="20"/>
        </w:rPr>
        <w:t xml:space="preserve">to uzasadnione celami projektu. </w:t>
      </w:r>
    </w:p>
    <w:p w:rsidR="009D4555" w:rsidRDefault="009D4555" w:rsidP="009D4555">
      <w:pPr>
        <w:spacing w:line="240" w:lineRule="auto"/>
        <w:jc w:val="both"/>
        <w:rPr>
          <w:rFonts w:cstheme="minorHAnsi"/>
          <w:sz w:val="20"/>
          <w:szCs w:val="20"/>
        </w:rPr>
      </w:pPr>
      <w:r>
        <w:rPr>
          <w:rFonts w:cstheme="minorHAnsi"/>
          <w:sz w:val="20"/>
          <w:szCs w:val="20"/>
        </w:rPr>
        <w:t>O</w:t>
      </w:r>
      <w:r w:rsidRPr="009D4555">
        <w:rPr>
          <w:rFonts w:cstheme="minorHAnsi"/>
          <w:sz w:val="20"/>
          <w:szCs w:val="20"/>
        </w:rPr>
        <w:t xml:space="preserve">bejmuje nocleg, co do </w:t>
      </w:r>
      <w:r>
        <w:rPr>
          <w:rFonts w:cstheme="minorHAnsi"/>
          <w:sz w:val="20"/>
          <w:szCs w:val="20"/>
        </w:rPr>
        <w:t>zasady w pokojach 2-osobowych (</w:t>
      </w:r>
      <w:r w:rsidRPr="009D4555">
        <w:rPr>
          <w:rFonts w:cstheme="minorHAnsi"/>
          <w:sz w:val="20"/>
          <w:szCs w:val="20"/>
        </w:rPr>
        <w:t xml:space="preserve">nocleg w pokojach 1-osobowych jest </w:t>
      </w:r>
      <w:proofErr w:type="spellStart"/>
      <w:r w:rsidRPr="009D4555">
        <w:rPr>
          <w:rFonts w:cstheme="minorHAnsi"/>
          <w:sz w:val="20"/>
          <w:szCs w:val="20"/>
        </w:rPr>
        <w:t>kwalifikowalny</w:t>
      </w:r>
      <w:proofErr w:type="spellEnd"/>
      <w:r w:rsidRPr="009D4555">
        <w:rPr>
          <w:rFonts w:cstheme="minorHAnsi"/>
          <w:sz w:val="20"/>
          <w:szCs w:val="20"/>
        </w:rPr>
        <w:t xml:space="preserve"> tylko w uzasadnionych przypadkach)</w:t>
      </w:r>
      <w:r w:rsidR="001B23BD">
        <w:rPr>
          <w:rFonts w:cstheme="minorHAnsi"/>
          <w:sz w:val="20"/>
          <w:szCs w:val="20"/>
        </w:rPr>
        <w:t>.</w:t>
      </w:r>
    </w:p>
    <w:p w:rsidR="00406207" w:rsidRPr="00406207" w:rsidRDefault="00406207" w:rsidP="00406207">
      <w:pPr>
        <w:spacing w:after="0" w:line="240" w:lineRule="auto"/>
        <w:jc w:val="both"/>
        <w:rPr>
          <w:rFonts w:eastAsia="Times New Roman" w:cs="Arial"/>
          <w:sz w:val="20"/>
          <w:szCs w:val="20"/>
        </w:rPr>
      </w:pPr>
      <w:r>
        <w:rPr>
          <w:rFonts w:cstheme="minorHAnsi"/>
          <w:sz w:val="20"/>
          <w:szCs w:val="20"/>
        </w:rPr>
        <w:t xml:space="preserve">** </w:t>
      </w:r>
      <w:r w:rsidRPr="00406207">
        <w:rPr>
          <w:rFonts w:eastAsia="Times New Roman" w:cs="Arial"/>
          <w:sz w:val="20"/>
          <w:szCs w:val="20"/>
        </w:rPr>
        <w:t>W przypadku dofinansowania przejazdów w postaci zwrotu kosztów dojazdu do miejsca pracy/szkolenia/doradztwa,</w:t>
      </w:r>
      <w:r w:rsidRPr="00406207">
        <w:rPr>
          <w:sz w:val="20"/>
          <w:szCs w:val="20"/>
        </w:rPr>
        <w:t xml:space="preserve"> odbywania zajęć z zakresu poradnictwa zawodowego</w:t>
      </w:r>
      <w:r w:rsidRPr="00406207">
        <w:rPr>
          <w:rFonts w:eastAsia="Times New Roman" w:cs="Arial"/>
          <w:sz w:val="20"/>
          <w:szCs w:val="20"/>
        </w:rPr>
        <w:t xml:space="preserve">, beneficjent wypłaca uczestnikowi projektu kwotę stanowiącą równowartość kosztu najtańszego środka transportu publicznego na danej trasie, za każdy dzień uczestnictwa w formie wsparcia. </w:t>
      </w:r>
    </w:p>
    <w:p w:rsidR="00406207" w:rsidRPr="00406207" w:rsidRDefault="00406207" w:rsidP="00406207">
      <w:pPr>
        <w:spacing w:after="0" w:line="240" w:lineRule="auto"/>
        <w:jc w:val="both"/>
        <w:rPr>
          <w:rFonts w:eastAsia="Times New Roman" w:cs="Arial"/>
          <w:sz w:val="20"/>
          <w:szCs w:val="20"/>
        </w:rPr>
      </w:pPr>
      <w:r w:rsidRPr="00406207">
        <w:rPr>
          <w:rFonts w:eastAsia="Times New Roman" w:cs="Arial"/>
          <w:sz w:val="20"/>
          <w:szCs w:val="20"/>
        </w:rPr>
        <w:t>W związku z tym beneficjent musi dysponować dokumentem potwierdzającym podjęcie zatrudnienia i miejsce zatrudnienia/szkolenia/doradztwa,</w:t>
      </w:r>
      <w:r w:rsidRPr="00406207">
        <w:rPr>
          <w:sz w:val="20"/>
          <w:szCs w:val="20"/>
        </w:rPr>
        <w:t xml:space="preserve"> odbywania zajęć z zakresu poradnictwa zawodowego</w:t>
      </w:r>
      <w:r w:rsidRPr="00406207">
        <w:rPr>
          <w:rFonts w:eastAsia="Times New Roman" w:cs="Arial"/>
          <w:sz w:val="20"/>
          <w:szCs w:val="20"/>
        </w:rPr>
        <w:t xml:space="preserve">, np. zaświadczeniem z zakładu pracy oraz dokumentem potwierdzającym miejsce zamieszkania uczestnika projektu. </w:t>
      </w:r>
    </w:p>
    <w:p w:rsidR="00406207" w:rsidRPr="00406207" w:rsidRDefault="00406207" w:rsidP="00406207">
      <w:pPr>
        <w:spacing w:after="0" w:line="240" w:lineRule="auto"/>
        <w:jc w:val="both"/>
        <w:rPr>
          <w:rFonts w:eastAsia="Times New Roman" w:cs="Arial"/>
          <w:sz w:val="20"/>
          <w:szCs w:val="20"/>
        </w:rPr>
      </w:pPr>
      <w:r w:rsidRPr="00406207">
        <w:rPr>
          <w:rFonts w:eastAsia="Times New Roman" w:cs="Arial"/>
          <w:sz w:val="20"/>
          <w:szCs w:val="20"/>
        </w:rPr>
        <w:t xml:space="preserve"> W ramach omawianej formy wsparcia beneficjent może również zaplanować finansowanie transportu zbiorowego dla uczestników projektu, np. poprzez wynajem środków transportu zbiorowego. Wybór przez beneficjenta metody wsparcia mobilności uczestników projektu, powinien być poprzedzony analizą jej efektywności. </w:t>
      </w:r>
    </w:p>
    <w:p w:rsidR="00406207" w:rsidRPr="00406207" w:rsidRDefault="00406207" w:rsidP="00406207">
      <w:pPr>
        <w:spacing w:after="0" w:line="240" w:lineRule="auto"/>
        <w:jc w:val="both"/>
        <w:rPr>
          <w:rFonts w:eastAsia="Times New Roman" w:cs="Arial"/>
          <w:sz w:val="20"/>
          <w:szCs w:val="20"/>
        </w:rPr>
      </w:pPr>
      <w:r w:rsidRPr="00406207">
        <w:rPr>
          <w:rFonts w:eastAsia="Times New Roman" w:cs="Arial"/>
          <w:sz w:val="20"/>
          <w:szCs w:val="20"/>
        </w:rPr>
        <w:t xml:space="preserve">Zaleca się, aby uczestnik projektu otrzymywał zwrot kosztów dojazdu przez okres nie dłuższy niż 6 </w:t>
      </w:r>
      <w:proofErr w:type="spellStart"/>
      <w:r w:rsidRPr="00406207">
        <w:rPr>
          <w:rFonts w:eastAsia="Times New Roman" w:cs="Arial"/>
          <w:sz w:val="20"/>
          <w:szCs w:val="20"/>
        </w:rPr>
        <w:t>m-cy</w:t>
      </w:r>
      <w:proofErr w:type="spellEnd"/>
      <w:r w:rsidRPr="00406207">
        <w:rPr>
          <w:rFonts w:eastAsia="Times New Roman" w:cs="Arial"/>
          <w:sz w:val="20"/>
          <w:szCs w:val="20"/>
        </w:rPr>
        <w:t>. Uczestnik projektu może otrzymać dofinansowanie przejazdów, jeżeli:</w:t>
      </w:r>
    </w:p>
    <w:p w:rsidR="00406207" w:rsidRPr="00406207" w:rsidRDefault="00406207" w:rsidP="00406207">
      <w:pPr>
        <w:spacing w:after="0" w:line="240" w:lineRule="auto"/>
        <w:jc w:val="both"/>
        <w:rPr>
          <w:rFonts w:eastAsia="Times New Roman" w:cs="Arial"/>
          <w:sz w:val="20"/>
          <w:szCs w:val="20"/>
        </w:rPr>
      </w:pPr>
      <w:r w:rsidRPr="00406207">
        <w:rPr>
          <w:rFonts w:eastAsia="Times New Roman" w:cs="Arial"/>
          <w:sz w:val="20"/>
          <w:szCs w:val="20"/>
        </w:rPr>
        <w:t>- podjął zatrudnienie w wyniku uczestnictwa w projekcie (po przystąpieniu do projektu),</w:t>
      </w:r>
    </w:p>
    <w:p w:rsidR="00406207" w:rsidRPr="00406207" w:rsidRDefault="00406207" w:rsidP="00406207">
      <w:pPr>
        <w:spacing w:after="0" w:line="240" w:lineRule="auto"/>
        <w:jc w:val="both"/>
        <w:rPr>
          <w:rFonts w:eastAsia="Times New Roman" w:cs="Arial"/>
          <w:sz w:val="20"/>
          <w:szCs w:val="20"/>
        </w:rPr>
      </w:pPr>
      <w:r w:rsidRPr="00406207">
        <w:rPr>
          <w:rFonts w:eastAsia="Times New Roman" w:cs="Arial"/>
          <w:sz w:val="20"/>
          <w:szCs w:val="20"/>
        </w:rPr>
        <w:t>- uzyskał zatrudnienie w miejscowości, w której nie zamieszkiwał.</w:t>
      </w:r>
    </w:p>
    <w:p w:rsidR="0086770A" w:rsidRDefault="0086770A" w:rsidP="0086770A">
      <w:pPr>
        <w:rPr>
          <w:sz w:val="18"/>
          <w:lang w:eastAsia="en-US"/>
        </w:rPr>
      </w:pPr>
      <w:bookmarkStart w:id="4" w:name="_Toc423324548"/>
    </w:p>
    <w:p w:rsidR="00EC6A87" w:rsidRPr="002B2A41" w:rsidRDefault="00EC6A87" w:rsidP="0086770A">
      <w:pPr>
        <w:rPr>
          <w:sz w:val="18"/>
          <w:lang w:eastAsia="en-US"/>
        </w:rPr>
      </w:pPr>
    </w:p>
    <w:p w:rsidR="007508C7" w:rsidRPr="00FB587D" w:rsidRDefault="004C0318">
      <w:pPr>
        <w:pStyle w:val="Nagwek3"/>
        <w:numPr>
          <w:ilvl w:val="0"/>
          <w:numId w:val="0"/>
        </w:numPr>
        <w:spacing w:before="0" w:line="240" w:lineRule="auto"/>
        <w:rPr>
          <w:rFonts w:asciiTheme="minorHAnsi" w:hAnsiTheme="minorHAnsi"/>
          <w:b w:val="0"/>
          <w:sz w:val="28"/>
          <w:szCs w:val="22"/>
          <w:u w:val="single"/>
        </w:rPr>
      </w:pPr>
      <w:r w:rsidRPr="00FB587D">
        <w:rPr>
          <w:rFonts w:asciiTheme="minorHAnsi" w:hAnsiTheme="minorHAnsi"/>
          <w:b w:val="0"/>
          <w:sz w:val="28"/>
          <w:szCs w:val="22"/>
          <w:u w:val="single"/>
        </w:rPr>
        <w:t xml:space="preserve">Tabela </w:t>
      </w:r>
      <w:r w:rsidR="00814EEB">
        <w:rPr>
          <w:rFonts w:asciiTheme="minorHAnsi" w:hAnsiTheme="minorHAnsi"/>
          <w:b w:val="0"/>
          <w:sz w:val="28"/>
          <w:szCs w:val="22"/>
          <w:u w:val="single"/>
        </w:rPr>
        <w:t>3</w:t>
      </w:r>
      <w:r w:rsidRPr="00FB587D">
        <w:rPr>
          <w:rFonts w:asciiTheme="minorHAnsi" w:hAnsiTheme="minorHAnsi"/>
          <w:b w:val="0"/>
          <w:sz w:val="28"/>
          <w:szCs w:val="22"/>
          <w:u w:val="single"/>
        </w:rPr>
        <w:t xml:space="preserve">. </w:t>
      </w:r>
      <w:bookmarkEnd w:id="4"/>
    </w:p>
    <w:p w:rsidR="002B2A41" w:rsidRPr="002B2A41" w:rsidRDefault="002B2A41" w:rsidP="00ED5C8B">
      <w:pPr>
        <w:rPr>
          <w:sz w:val="18"/>
          <w:lang w:eastAsia="en-US"/>
        </w:rPr>
      </w:pPr>
    </w:p>
    <w:tbl>
      <w:tblPr>
        <w:tblW w:w="8688"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542"/>
        <w:gridCol w:w="1167"/>
        <w:gridCol w:w="1979"/>
      </w:tblGrid>
      <w:tr w:rsidR="007829B2" w:rsidRPr="000946C7" w:rsidTr="007829B2">
        <w:trPr>
          <w:trHeight w:val="221"/>
        </w:trPr>
        <w:tc>
          <w:tcPr>
            <w:tcW w:w="8688" w:type="dxa"/>
            <w:gridSpan w:val="3"/>
            <w:shd w:val="clear" w:color="auto" w:fill="BFBFBF" w:themeFill="background1" w:themeFillShade="BF"/>
            <w:vAlign w:val="center"/>
          </w:tcPr>
          <w:p w:rsidR="007829B2" w:rsidRPr="000946C7" w:rsidRDefault="007829B2" w:rsidP="00C41CB2">
            <w:pPr>
              <w:ind w:left="7"/>
              <w:jc w:val="center"/>
              <w:rPr>
                <w:b/>
              </w:rPr>
            </w:pPr>
            <w:r>
              <w:rPr>
                <w:b/>
              </w:rPr>
              <w:t>SZKOLENIA</w:t>
            </w:r>
          </w:p>
        </w:tc>
      </w:tr>
      <w:tr w:rsidR="00C41CB2" w:rsidRPr="000946C7" w:rsidTr="00814EEB">
        <w:trPr>
          <w:trHeight w:val="1019"/>
        </w:trPr>
        <w:tc>
          <w:tcPr>
            <w:tcW w:w="5542" w:type="dxa"/>
            <w:shd w:val="clear" w:color="auto" w:fill="D9D9D9" w:themeFill="background1" w:themeFillShade="D9"/>
            <w:vAlign w:val="center"/>
          </w:tcPr>
          <w:p w:rsidR="00C41CB2" w:rsidRPr="000946C7" w:rsidRDefault="00C41CB2" w:rsidP="00C41CB2">
            <w:pPr>
              <w:ind w:left="7"/>
              <w:jc w:val="center"/>
              <w:rPr>
                <w:b/>
              </w:rPr>
            </w:pPr>
            <w:r>
              <w:rPr>
                <w:b/>
              </w:rPr>
              <w:t>Rodzaj szkolenia</w:t>
            </w:r>
          </w:p>
        </w:tc>
        <w:tc>
          <w:tcPr>
            <w:tcW w:w="1167" w:type="dxa"/>
            <w:shd w:val="clear" w:color="auto" w:fill="D9D9D9" w:themeFill="background1" w:themeFillShade="D9"/>
            <w:vAlign w:val="center"/>
          </w:tcPr>
          <w:p w:rsidR="00C41CB2" w:rsidRPr="000946C7" w:rsidRDefault="00C41CB2" w:rsidP="00C41CB2">
            <w:pPr>
              <w:ind w:left="7"/>
              <w:jc w:val="center"/>
              <w:rPr>
                <w:b/>
              </w:rPr>
            </w:pPr>
            <w:r w:rsidRPr="000946C7">
              <w:rPr>
                <w:b/>
              </w:rPr>
              <w:t>Jednostka</w:t>
            </w:r>
          </w:p>
        </w:tc>
        <w:tc>
          <w:tcPr>
            <w:tcW w:w="1979" w:type="dxa"/>
            <w:shd w:val="clear" w:color="auto" w:fill="D9D9D9" w:themeFill="background1" w:themeFillShade="D9"/>
            <w:vAlign w:val="center"/>
          </w:tcPr>
          <w:p w:rsidR="00C41CB2" w:rsidRPr="000946C7" w:rsidRDefault="00C41CB2" w:rsidP="00C41CB2">
            <w:pPr>
              <w:ind w:left="7"/>
              <w:jc w:val="center"/>
              <w:rPr>
                <w:b/>
              </w:rPr>
            </w:pPr>
            <w:r w:rsidRPr="000946C7">
              <w:rPr>
                <w:b/>
              </w:rPr>
              <w:t xml:space="preserve">Maksymalny dopuszczalny koszt </w:t>
            </w:r>
            <w:r w:rsidRPr="000946C7">
              <w:rPr>
                <w:b/>
              </w:rPr>
              <w:br/>
              <w:t>(w PLN)</w:t>
            </w:r>
          </w:p>
        </w:tc>
      </w:tr>
      <w:tr w:rsidR="00C41CB2" w:rsidRPr="000946C7" w:rsidTr="00814EEB">
        <w:trPr>
          <w:trHeight w:val="240"/>
        </w:trPr>
        <w:tc>
          <w:tcPr>
            <w:tcW w:w="5542" w:type="dxa"/>
            <w:vAlign w:val="center"/>
          </w:tcPr>
          <w:p w:rsidR="00C41CB2" w:rsidRPr="000946C7" w:rsidRDefault="00C41CB2" w:rsidP="00C41CB2">
            <w:pPr>
              <w:ind w:left="7"/>
              <w:jc w:val="center"/>
              <w:rPr>
                <w:szCs w:val="24"/>
              </w:rPr>
            </w:pPr>
            <w:r>
              <w:rPr>
                <w:szCs w:val="24"/>
              </w:rPr>
              <w:t>O</w:t>
            </w:r>
            <w:r w:rsidRPr="000946C7">
              <w:rPr>
                <w:szCs w:val="24"/>
              </w:rPr>
              <w:t>bsług</w:t>
            </w:r>
            <w:r>
              <w:rPr>
                <w:szCs w:val="24"/>
              </w:rPr>
              <w:t>a</w:t>
            </w:r>
            <w:r w:rsidRPr="000946C7">
              <w:rPr>
                <w:szCs w:val="24"/>
              </w:rPr>
              <w:t xml:space="preserve"> wózków jezdniowych</w:t>
            </w:r>
          </w:p>
        </w:tc>
        <w:tc>
          <w:tcPr>
            <w:tcW w:w="1167" w:type="dxa"/>
            <w:vAlign w:val="center"/>
          </w:tcPr>
          <w:p w:rsidR="00C41CB2" w:rsidRPr="000946C7" w:rsidRDefault="00C41CB2" w:rsidP="00C41CB2">
            <w:pPr>
              <w:ind w:left="7"/>
              <w:jc w:val="center"/>
              <w:rPr>
                <w:szCs w:val="24"/>
              </w:rPr>
            </w:pPr>
            <w:r w:rsidRPr="000946C7">
              <w:rPr>
                <w:szCs w:val="24"/>
              </w:rPr>
              <w:t>osoba</w:t>
            </w:r>
          </w:p>
        </w:tc>
        <w:tc>
          <w:tcPr>
            <w:tcW w:w="1979" w:type="dxa"/>
            <w:vAlign w:val="center"/>
          </w:tcPr>
          <w:p w:rsidR="00C41CB2" w:rsidRPr="000946C7" w:rsidRDefault="00C41CB2" w:rsidP="005F5C17">
            <w:pPr>
              <w:ind w:left="7"/>
              <w:jc w:val="center"/>
              <w:rPr>
                <w:szCs w:val="24"/>
              </w:rPr>
            </w:pPr>
            <w:r w:rsidRPr="000946C7">
              <w:rPr>
                <w:szCs w:val="24"/>
              </w:rPr>
              <w:t>4</w:t>
            </w:r>
            <w:r w:rsidR="005F5C17">
              <w:rPr>
                <w:szCs w:val="24"/>
              </w:rPr>
              <w:t>40</w:t>
            </w:r>
            <w:r w:rsidRPr="000946C7">
              <w:rPr>
                <w:szCs w:val="24"/>
              </w:rPr>
              <w:t>,00</w:t>
            </w:r>
            <w:r>
              <w:rPr>
                <w:szCs w:val="24"/>
              </w:rPr>
              <w:t xml:space="preserve"> zł</w:t>
            </w:r>
          </w:p>
        </w:tc>
      </w:tr>
      <w:tr w:rsidR="00C41CB2" w:rsidRPr="000946C7" w:rsidTr="00814EEB">
        <w:trPr>
          <w:trHeight w:val="240"/>
        </w:trPr>
        <w:tc>
          <w:tcPr>
            <w:tcW w:w="5542" w:type="dxa"/>
            <w:vAlign w:val="center"/>
          </w:tcPr>
          <w:p w:rsidR="00C41CB2" w:rsidRPr="000946C7" w:rsidRDefault="00C41CB2" w:rsidP="00C41CB2">
            <w:pPr>
              <w:ind w:left="7"/>
              <w:jc w:val="center"/>
              <w:rPr>
                <w:szCs w:val="24"/>
              </w:rPr>
            </w:pPr>
            <w:r>
              <w:rPr>
                <w:szCs w:val="24"/>
              </w:rPr>
              <w:t>O</w:t>
            </w:r>
            <w:r w:rsidRPr="000946C7">
              <w:rPr>
                <w:szCs w:val="24"/>
              </w:rPr>
              <w:t>bsługa kas fiskalnych</w:t>
            </w:r>
          </w:p>
        </w:tc>
        <w:tc>
          <w:tcPr>
            <w:tcW w:w="1167" w:type="dxa"/>
            <w:vAlign w:val="center"/>
          </w:tcPr>
          <w:p w:rsidR="00C41CB2" w:rsidRPr="000946C7" w:rsidRDefault="00C41CB2" w:rsidP="00C41CB2">
            <w:pPr>
              <w:ind w:left="7"/>
              <w:jc w:val="center"/>
              <w:rPr>
                <w:szCs w:val="24"/>
              </w:rPr>
            </w:pPr>
            <w:r w:rsidRPr="000946C7">
              <w:rPr>
                <w:szCs w:val="24"/>
              </w:rPr>
              <w:t>osoba</w:t>
            </w:r>
          </w:p>
        </w:tc>
        <w:tc>
          <w:tcPr>
            <w:tcW w:w="1979" w:type="dxa"/>
            <w:vAlign w:val="center"/>
          </w:tcPr>
          <w:p w:rsidR="00C41CB2" w:rsidRPr="000946C7" w:rsidRDefault="00C41CB2" w:rsidP="005F5C17">
            <w:pPr>
              <w:ind w:left="7"/>
              <w:jc w:val="center"/>
              <w:rPr>
                <w:szCs w:val="24"/>
              </w:rPr>
            </w:pPr>
            <w:r w:rsidRPr="000946C7">
              <w:rPr>
                <w:szCs w:val="24"/>
              </w:rPr>
              <w:t>2</w:t>
            </w:r>
            <w:r w:rsidR="005F5C17">
              <w:rPr>
                <w:szCs w:val="24"/>
              </w:rPr>
              <w:t>50</w:t>
            </w:r>
            <w:r w:rsidRPr="000946C7">
              <w:rPr>
                <w:szCs w:val="24"/>
              </w:rPr>
              <w:t>,00</w:t>
            </w:r>
            <w:r>
              <w:rPr>
                <w:szCs w:val="24"/>
              </w:rPr>
              <w:t xml:space="preserve"> zł</w:t>
            </w:r>
          </w:p>
        </w:tc>
      </w:tr>
      <w:tr w:rsidR="002B2A41" w:rsidRPr="000946C7" w:rsidTr="00814EEB">
        <w:trPr>
          <w:trHeight w:val="240"/>
        </w:trPr>
        <w:tc>
          <w:tcPr>
            <w:tcW w:w="5542" w:type="dxa"/>
            <w:vAlign w:val="center"/>
          </w:tcPr>
          <w:p w:rsidR="002B2A41" w:rsidRDefault="002B2A41" w:rsidP="00C41CB2">
            <w:pPr>
              <w:ind w:left="7"/>
              <w:jc w:val="center"/>
              <w:rPr>
                <w:szCs w:val="24"/>
              </w:rPr>
            </w:pPr>
            <w:r>
              <w:rPr>
                <w:szCs w:val="24"/>
              </w:rPr>
              <w:t>K</w:t>
            </w:r>
            <w:r w:rsidRPr="002B2A41">
              <w:rPr>
                <w:szCs w:val="24"/>
              </w:rPr>
              <w:t>urs - operator programista CNC</w:t>
            </w:r>
          </w:p>
        </w:tc>
        <w:tc>
          <w:tcPr>
            <w:tcW w:w="1167" w:type="dxa"/>
            <w:vAlign w:val="center"/>
          </w:tcPr>
          <w:p w:rsidR="002B2A41" w:rsidRPr="000946C7" w:rsidRDefault="002B2A41" w:rsidP="00C41CB2">
            <w:pPr>
              <w:ind w:left="7"/>
              <w:jc w:val="center"/>
              <w:rPr>
                <w:szCs w:val="24"/>
              </w:rPr>
            </w:pPr>
            <w:r>
              <w:rPr>
                <w:szCs w:val="24"/>
              </w:rPr>
              <w:t>osoba</w:t>
            </w:r>
          </w:p>
        </w:tc>
        <w:tc>
          <w:tcPr>
            <w:tcW w:w="1979" w:type="dxa"/>
            <w:vAlign w:val="center"/>
          </w:tcPr>
          <w:p w:rsidR="002B2A41" w:rsidRPr="000946C7" w:rsidRDefault="002B2A41" w:rsidP="005F5C17">
            <w:pPr>
              <w:ind w:left="7"/>
              <w:jc w:val="center"/>
              <w:rPr>
                <w:szCs w:val="24"/>
              </w:rPr>
            </w:pPr>
            <w:r>
              <w:rPr>
                <w:szCs w:val="24"/>
              </w:rPr>
              <w:t>2 100,00 zł</w:t>
            </w:r>
          </w:p>
        </w:tc>
      </w:tr>
      <w:tr w:rsidR="002B2A41" w:rsidRPr="000946C7" w:rsidTr="00814EEB">
        <w:trPr>
          <w:trHeight w:val="240"/>
        </w:trPr>
        <w:tc>
          <w:tcPr>
            <w:tcW w:w="5542" w:type="dxa"/>
            <w:vAlign w:val="center"/>
          </w:tcPr>
          <w:p w:rsidR="002B2A41" w:rsidRDefault="002B2A41" w:rsidP="00C41CB2">
            <w:pPr>
              <w:ind w:left="7"/>
              <w:jc w:val="center"/>
              <w:rPr>
                <w:szCs w:val="24"/>
              </w:rPr>
            </w:pPr>
            <w:r>
              <w:rPr>
                <w:szCs w:val="24"/>
              </w:rPr>
              <w:t>K</w:t>
            </w:r>
            <w:r w:rsidRPr="002B2A41">
              <w:rPr>
                <w:szCs w:val="24"/>
              </w:rPr>
              <w:t>urs ADR</w:t>
            </w:r>
          </w:p>
        </w:tc>
        <w:tc>
          <w:tcPr>
            <w:tcW w:w="1167" w:type="dxa"/>
            <w:vAlign w:val="center"/>
          </w:tcPr>
          <w:p w:rsidR="002B2A41" w:rsidRPr="000946C7" w:rsidRDefault="002B2A41" w:rsidP="00C41CB2">
            <w:pPr>
              <w:ind w:left="7"/>
              <w:jc w:val="center"/>
              <w:rPr>
                <w:szCs w:val="24"/>
              </w:rPr>
            </w:pPr>
            <w:r>
              <w:rPr>
                <w:szCs w:val="24"/>
              </w:rPr>
              <w:t>osoba</w:t>
            </w:r>
          </w:p>
        </w:tc>
        <w:tc>
          <w:tcPr>
            <w:tcW w:w="1979" w:type="dxa"/>
            <w:vAlign w:val="center"/>
          </w:tcPr>
          <w:p w:rsidR="002B2A41" w:rsidRPr="000946C7" w:rsidRDefault="002B2A41" w:rsidP="005F5C17">
            <w:pPr>
              <w:ind w:left="7"/>
              <w:jc w:val="center"/>
              <w:rPr>
                <w:szCs w:val="24"/>
              </w:rPr>
            </w:pPr>
            <w:r>
              <w:rPr>
                <w:szCs w:val="24"/>
              </w:rPr>
              <w:t>490,00 zł</w:t>
            </w:r>
          </w:p>
        </w:tc>
      </w:tr>
      <w:tr w:rsidR="002A3A73" w:rsidRPr="000946C7" w:rsidTr="00814EEB">
        <w:trPr>
          <w:trHeight w:val="240"/>
        </w:trPr>
        <w:tc>
          <w:tcPr>
            <w:tcW w:w="5542" w:type="dxa"/>
            <w:vAlign w:val="center"/>
          </w:tcPr>
          <w:p w:rsidR="002A3A73" w:rsidRPr="002B2A41" w:rsidRDefault="002A3A73" w:rsidP="00C41CB2">
            <w:pPr>
              <w:ind w:left="7"/>
              <w:jc w:val="center"/>
              <w:rPr>
                <w:szCs w:val="24"/>
              </w:rPr>
            </w:pPr>
            <w:r w:rsidRPr="002A3A73">
              <w:rPr>
                <w:szCs w:val="24"/>
              </w:rPr>
              <w:t>Elektryk (uprawnienia elektryczne) E i D + egzamin</w:t>
            </w:r>
          </w:p>
        </w:tc>
        <w:tc>
          <w:tcPr>
            <w:tcW w:w="1167" w:type="dxa"/>
            <w:vAlign w:val="center"/>
          </w:tcPr>
          <w:p w:rsidR="002A3A73" w:rsidRDefault="002A3A73" w:rsidP="00C41CB2">
            <w:pPr>
              <w:ind w:left="7"/>
              <w:jc w:val="center"/>
              <w:rPr>
                <w:szCs w:val="24"/>
              </w:rPr>
            </w:pPr>
            <w:r>
              <w:rPr>
                <w:szCs w:val="24"/>
              </w:rPr>
              <w:t>osoba</w:t>
            </w:r>
          </w:p>
        </w:tc>
        <w:tc>
          <w:tcPr>
            <w:tcW w:w="1979" w:type="dxa"/>
            <w:vAlign w:val="center"/>
          </w:tcPr>
          <w:p w:rsidR="002A3A73" w:rsidRDefault="002A3A73" w:rsidP="005F5C17">
            <w:pPr>
              <w:ind w:left="7"/>
              <w:jc w:val="center"/>
              <w:rPr>
                <w:szCs w:val="24"/>
              </w:rPr>
            </w:pPr>
            <w:r>
              <w:rPr>
                <w:szCs w:val="24"/>
              </w:rPr>
              <w:t>750,00</w:t>
            </w:r>
          </w:p>
        </w:tc>
      </w:tr>
      <w:tr w:rsidR="00C41CB2" w:rsidRPr="000946C7" w:rsidTr="00814EEB">
        <w:trPr>
          <w:trHeight w:val="578"/>
        </w:trPr>
        <w:tc>
          <w:tcPr>
            <w:tcW w:w="5542" w:type="dxa"/>
            <w:vAlign w:val="center"/>
          </w:tcPr>
          <w:p w:rsidR="00C41CB2" w:rsidRPr="000946C7" w:rsidRDefault="00C41CB2" w:rsidP="00C41CB2">
            <w:pPr>
              <w:ind w:left="7"/>
              <w:jc w:val="center"/>
              <w:rPr>
                <w:szCs w:val="24"/>
              </w:rPr>
            </w:pPr>
            <w:r w:rsidRPr="000946C7">
              <w:rPr>
                <w:szCs w:val="24"/>
              </w:rPr>
              <w:lastRenderedPageBreak/>
              <w:t>Prawo jazdy kat. C</w:t>
            </w:r>
          </w:p>
        </w:tc>
        <w:tc>
          <w:tcPr>
            <w:tcW w:w="1167" w:type="dxa"/>
            <w:vAlign w:val="center"/>
          </w:tcPr>
          <w:p w:rsidR="00C41CB2" w:rsidRPr="000946C7" w:rsidRDefault="00C41CB2" w:rsidP="00C41CB2">
            <w:pPr>
              <w:ind w:left="7"/>
              <w:jc w:val="center"/>
              <w:rPr>
                <w:szCs w:val="24"/>
              </w:rPr>
            </w:pPr>
            <w:r w:rsidRPr="000946C7">
              <w:rPr>
                <w:szCs w:val="24"/>
              </w:rPr>
              <w:t>osoba</w:t>
            </w:r>
          </w:p>
        </w:tc>
        <w:tc>
          <w:tcPr>
            <w:tcW w:w="1979" w:type="dxa"/>
            <w:vAlign w:val="center"/>
          </w:tcPr>
          <w:p w:rsidR="00C41CB2" w:rsidRPr="000946C7" w:rsidRDefault="00B07E4F" w:rsidP="005F5C17">
            <w:pPr>
              <w:ind w:left="7"/>
              <w:jc w:val="center"/>
              <w:rPr>
                <w:szCs w:val="24"/>
              </w:rPr>
            </w:pPr>
            <w:r>
              <w:rPr>
                <w:szCs w:val="24"/>
              </w:rPr>
              <w:t xml:space="preserve">2 </w:t>
            </w:r>
            <w:r w:rsidR="005F5C17">
              <w:rPr>
                <w:szCs w:val="24"/>
              </w:rPr>
              <w:t>100</w:t>
            </w:r>
            <w:r w:rsidR="00C41CB2" w:rsidRPr="000946C7">
              <w:rPr>
                <w:szCs w:val="24"/>
              </w:rPr>
              <w:t>,00</w:t>
            </w:r>
            <w:r w:rsidR="00C41CB2">
              <w:rPr>
                <w:szCs w:val="24"/>
              </w:rPr>
              <w:t xml:space="preserve"> zł </w:t>
            </w:r>
            <w:r w:rsidR="00C41CB2" w:rsidRPr="000946C7">
              <w:rPr>
                <w:szCs w:val="24"/>
              </w:rPr>
              <w:t xml:space="preserve">+ 200,00 </w:t>
            </w:r>
            <w:r w:rsidR="00C41CB2">
              <w:rPr>
                <w:szCs w:val="24"/>
              </w:rPr>
              <w:t xml:space="preserve">zł </w:t>
            </w:r>
            <w:r w:rsidR="00C41CB2" w:rsidRPr="000946C7">
              <w:rPr>
                <w:szCs w:val="24"/>
              </w:rPr>
              <w:t>badanie lekarskie*</w:t>
            </w:r>
          </w:p>
        </w:tc>
      </w:tr>
      <w:tr w:rsidR="002B2A41" w:rsidRPr="000946C7" w:rsidTr="00814EEB">
        <w:trPr>
          <w:trHeight w:val="578"/>
        </w:trPr>
        <w:tc>
          <w:tcPr>
            <w:tcW w:w="5542" w:type="dxa"/>
            <w:vAlign w:val="center"/>
          </w:tcPr>
          <w:p w:rsidR="002B2A41" w:rsidRPr="000946C7" w:rsidRDefault="002B2A41" w:rsidP="002B2A41">
            <w:pPr>
              <w:ind w:left="7"/>
              <w:jc w:val="center"/>
              <w:rPr>
                <w:szCs w:val="24"/>
              </w:rPr>
            </w:pPr>
            <w:r w:rsidRPr="002B2A41">
              <w:rPr>
                <w:szCs w:val="24"/>
              </w:rPr>
              <w:t xml:space="preserve">Prawo jazdy kat. </w:t>
            </w:r>
            <w:proofErr w:type="spellStart"/>
            <w:r w:rsidRPr="002B2A41">
              <w:rPr>
                <w:szCs w:val="24"/>
              </w:rPr>
              <w:t>C+E</w:t>
            </w:r>
            <w:proofErr w:type="spellEnd"/>
          </w:p>
        </w:tc>
        <w:tc>
          <w:tcPr>
            <w:tcW w:w="1167" w:type="dxa"/>
            <w:vAlign w:val="center"/>
          </w:tcPr>
          <w:p w:rsidR="002B2A41" w:rsidRPr="000946C7" w:rsidRDefault="002B2A41" w:rsidP="002B2A41">
            <w:pPr>
              <w:ind w:left="7"/>
              <w:jc w:val="center"/>
              <w:rPr>
                <w:szCs w:val="24"/>
              </w:rPr>
            </w:pPr>
            <w:r>
              <w:rPr>
                <w:szCs w:val="24"/>
              </w:rPr>
              <w:t>osoba</w:t>
            </w:r>
          </w:p>
        </w:tc>
        <w:tc>
          <w:tcPr>
            <w:tcW w:w="1979" w:type="dxa"/>
            <w:vAlign w:val="center"/>
          </w:tcPr>
          <w:p w:rsidR="002B2A41" w:rsidRDefault="002B2A41" w:rsidP="002B2A41">
            <w:pPr>
              <w:ind w:left="7"/>
              <w:jc w:val="center"/>
              <w:rPr>
                <w:szCs w:val="24"/>
              </w:rPr>
            </w:pPr>
            <w:r>
              <w:rPr>
                <w:szCs w:val="24"/>
              </w:rPr>
              <w:t>2 000,00 zł</w:t>
            </w:r>
          </w:p>
        </w:tc>
      </w:tr>
      <w:tr w:rsidR="00C41CB2" w:rsidRPr="000946C7" w:rsidTr="00814EEB">
        <w:trPr>
          <w:trHeight w:val="240"/>
        </w:trPr>
        <w:tc>
          <w:tcPr>
            <w:tcW w:w="5542" w:type="dxa"/>
            <w:vAlign w:val="center"/>
          </w:tcPr>
          <w:p w:rsidR="00C41CB2" w:rsidRPr="000946C7" w:rsidRDefault="00C41CB2" w:rsidP="00C41CB2">
            <w:pPr>
              <w:ind w:left="7"/>
              <w:jc w:val="center"/>
              <w:rPr>
                <w:szCs w:val="24"/>
              </w:rPr>
            </w:pPr>
            <w:r w:rsidRPr="000946C7">
              <w:rPr>
                <w:szCs w:val="24"/>
              </w:rPr>
              <w:t>Spawanie MAG</w:t>
            </w:r>
          </w:p>
        </w:tc>
        <w:tc>
          <w:tcPr>
            <w:tcW w:w="1167" w:type="dxa"/>
            <w:vAlign w:val="center"/>
          </w:tcPr>
          <w:p w:rsidR="00C41CB2" w:rsidRPr="000946C7" w:rsidRDefault="00C41CB2" w:rsidP="00C41CB2">
            <w:pPr>
              <w:ind w:left="7"/>
              <w:jc w:val="center"/>
              <w:rPr>
                <w:szCs w:val="24"/>
              </w:rPr>
            </w:pPr>
            <w:r w:rsidRPr="000946C7">
              <w:rPr>
                <w:szCs w:val="24"/>
              </w:rPr>
              <w:t>osoba</w:t>
            </w:r>
          </w:p>
        </w:tc>
        <w:tc>
          <w:tcPr>
            <w:tcW w:w="1979" w:type="dxa"/>
            <w:vAlign w:val="center"/>
          </w:tcPr>
          <w:p w:rsidR="00C41CB2" w:rsidRPr="000946C7" w:rsidRDefault="00C41CB2" w:rsidP="005F5C17">
            <w:pPr>
              <w:ind w:left="7"/>
              <w:jc w:val="center"/>
              <w:rPr>
                <w:szCs w:val="24"/>
              </w:rPr>
            </w:pPr>
            <w:r w:rsidRPr="000946C7">
              <w:rPr>
                <w:szCs w:val="24"/>
              </w:rPr>
              <w:t>2</w:t>
            </w:r>
            <w:r>
              <w:rPr>
                <w:szCs w:val="24"/>
              </w:rPr>
              <w:t xml:space="preserve"> </w:t>
            </w:r>
            <w:r w:rsidR="005F5C17">
              <w:rPr>
                <w:szCs w:val="24"/>
              </w:rPr>
              <w:t>200</w:t>
            </w:r>
            <w:r w:rsidRPr="000946C7">
              <w:rPr>
                <w:szCs w:val="24"/>
              </w:rPr>
              <w:t>,00</w:t>
            </w:r>
            <w:r>
              <w:rPr>
                <w:szCs w:val="24"/>
              </w:rPr>
              <w:t xml:space="preserve"> zł</w:t>
            </w:r>
          </w:p>
        </w:tc>
      </w:tr>
      <w:tr w:rsidR="00C41CB2" w:rsidRPr="000946C7" w:rsidTr="00814EEB">
        <w:trPr>
          <w:trHeight w:val="240"/>
        </w:trPr>
        <w:tc>
          <w:tcPr>
            <w:tcW w:w="5542" w:type="dxa"/>
            <w:vAlign w:val="center"/>
          </w:tcPr>
          <w:p w:rsidR="00C41CB2" w:rsidRPr="000946C7" w:rsidRDefault="00C41CB2" w:rsidP="00C41CB2">
            <w:pPr>
              <w:ind w:left="7"/>
              <w:jc w:val="center"/>
              <w:rPr>
                <w:szCs w:val="24"/>
              </w:rPr>
            </w:pPr>
            <w:r w:rsidRPr="000946C7">
              <w:rPr>
                <w:szCs w:val="24"/>
              </w:rPr>
              <w:t>Spawanie TIG</w:t>
            </w:r>
          </w:p>
        </w:tc>
        <w:tc>
          <w:tcPr>
            <w:tcW w:w="1167" w:type="dxa"/>
            <w:vAlign w:val="center"/>
          </w:tcPr>
          <w:p w:rsidR="00C41CB2" w:rsidRPr="000946C7" w:rsidRDefault="00C41CB2" w:rsidP="00C41CB2">
            <w:pPr>
              <w:ind w:left="7"/>
              <w:jc w:val="center"/>
              <w:rPr>
                <w:szCs w:val="24"/>
              </w:rPr>
            </w:pPr>
            <w:r w:rsidRPr="000946C7">
              <w:rPr>
                <w:szCs w:val="24"/>
              </w:rPr>
              <w:t>osoba</w:t>
            </w:r>
          </w:p>
        </w:tc>
        <w:tc>
          <w:tcPr>
            <w:tcW w:w="1979" w:type="dxa"/>
            <w:vAlign w:val="center"/>
          </w:tcPr>
          <w:p w:rsidR="00C41CB2" w:rsidRPr="000946C7" w:rsidRDefault="00C41CB2" w:rsidP="005F5C17">
            <w:pPr>
              <w:ind w:left="7"/>
              <w:jc w:val="center"/>
              <w:rPr>
                <w:szCs w:val="24"/>
              </w:rPr>
            </w:pPr>
            <w:r w:rsidRPr="000946C7">
              <w:rPr>
                <w:szCs w:val="24"/>
              </w:rPr>
              <w:t>2</w:t>
            </w:r>
            <w:r>
              <w:rPr>
                <w:szCs w:val="24"/>
              </w:rPr>
              <w:t xml:space="preserve"> </w:t>
            </w:r>
            <w:r w:rsidR="005F5C17">
              <w:rPr>
                <w:szCs w:val="24"/>
              </w:rPr>
              <w:t>200</w:t>
            </w:r>
            <w:r w:rsidRPr="000946C7">
              <w:rPr>
                <w:szCs w:val="24"/>
              </w:rPr>
              <w:t>,00</w:t>
            </w:r>
            <w:r>
              <w:rPr>
                <w:szCs w:val="24"/>
              </w:rPr>
              <w:t xml:space="preserve"> zł</w:t>
            </w:r>
          </w:p>
        </w:tc>
      </w:tr>
      <w:tr w:rsidR="00814EEB" w:rsidRPr="000946C7" w:rsidTr="00814EEB">
        <w:trPr>
          <w:trHeight w:val="240"/>
        </w:trPr>
        <w:tc>
          <w:tcPr>
            <w:tcW w:w="5542" w:type="dxa"/>
            <w:vAlign w:val="center"/>
          </w:tcPr>
          <w:p w:rsidR="00814EEB" w:rsidRPr="000946C7" w:rsidRDefault="00814EEB" w:rsidP="00C41CB2">
            <w:pPr>
              <w:ind w:left="7"/>
              <w:jc w:val="center"/>
              <w:rPr>
                <w:szCs w:val="24"/>
              </w:rPr>
            </w:pPr>
            <w:r w:rsidRPr="00814EEB">
              <w:rPr>
                <w:szCs w:val="24"/>
              </w:rPr>
              <w:t>kurs - operator programista CNC</w:t>
            </w:r>
          </w:p>
        </w:tc>
        <w:tc>
          <w:tcPr>
            <w:tcW w:w="1167" w:type="dxa"/>
          </w:tcPr>
          <w:p w:rsidR="00814EEB" w:rsidRDefault="00814EEB" w:rsidP="00814EEB">
            <w:pPr>
              <w:jc w:val="center"/>
            </w:pPr>
            <w:r w:rsidRPr="00517D23">
              <w:rPr>
                <w:szCs w:val="24"/>
              </w:rPr>
              <w:t>osoba</w:t>
            </w:r>
          </w:p>
        </w:tc>
        <w:tc>
          <w:tcPr>
            <w:tcW w:w="1979" w:type="dxa"/>
            <w:vAlign w:val="center"/>
          </w:tcPr>
          <w:p w:rsidR="00814EEB" w:rsidRPr="000946C7" w:rsidRDefault="00853E74" w:rsidP="00814EEB">
            <w:pPr>
              <w:ind w:left="7"/>
              <w:jc w:val="center"/>
              <w:rPr>
                <w:szCs w:val="24"/>
              </w:rPr>
            </w:pPr>
            <w:r>
              <w:rPr>
                <w:szCs w:val="24"/>
              </w:rPr>
              <w:t>2</w:t>
            </w:r>
            <w:r w:rsidR="00EC6A87">
              <w:rPr>
                <w:szCs w:val="24"/>
              </w:rPr>
              <w:t xml:space="preserve"> </w:t>
            </w:r>
            <w:r>
              <w:rPr>
                <w:szCs w:val="24"/>
              </w:rPr>
              <w:t>100,00 zł</w:t>
            </w:r>
          </w:p>
        </w:tc>
      </w:tr>
      <w:tr w:rsidR="00814EEB" w:rsidRPr="000946C7" w:rsidTr="00814EEB">
        <w:trPr>
          <w:trHeight w:val="240"/>
        </w:trPr>
        <w:tc>
          <w:tcPr>
            <w:tcW w:w="5542" w:type="dxa"/>
            <w:vAlign w:val="center"/>
          </w:tcPr>
          <w:p w:rsidR="00814EEB" w:rsidRPr="000946C7" w:rsidRDefault="00814EEB" w:rsidP="00C41CB2">
            <w:pPr>
              <w:ind w:left="7"/>
              <w:jc w:val="center"/>
              <w:rPr>
                <w:szCs w:val="24"/>
              </w:rPr>
            </w:pPr>
            <w:r w:rsidRPr="00814EEB">
              <w:rPr>
                <w:szCs w:val="24"/>
              </w:rPr>
              <w:t>kurs ADR</w:t>
            </w:r>
          </w:p>
        </w:tc>
        <w:tc>
          <w:tcPr>
            <w:tcW w:w="1167" w:type="dxa"/>
          </w:tcPr>
          <w:p w:rsidR="00814EEB" w:rsidRDefault="00814EEB" w:rsidP="00814EEB">
            <w:pPr>
              <w:jc w:val="center"/>
            </w:pPr>
            <w:r w:rsidRPr="00517D23">
              <w:rPr>
                <w:szCs w:val="24"/>
              </w:rPr>
              <w:t>osoba</w:t>
            </w:r>
          </w:p>
        </w:tc>
        <w:tc>
          <w:tcPr>
            <w:tcW w:w="1979" w:type="dxa"/>
            <w:vAlign w:val="center"/>
          </w:tcPr>
          <w:p w:rsidR="00814EEB" w:rsidRPr="000946C7" w:rsidRDefault="00853E74" w:rsidP="005F5C17">
            <w:pPr>
              <w:ind w:left="7"/>
              <w:jc w:val="center"/>
              <w:rPr>
                <w:szCs w:val="24"/>
              </w:rPr>
            </w:pPr>
            <w:r>
              <w:rPr>
                <w:szCs w:val="24"/>
              </w:rPr>
              <w:t>490,00 zł</w:t>
            </w:r>
          </w:p>
        </w:tc>
      </w:tr>
      <w:tr w:rsidR="00814EEB" w:rsidRPr="000946C7" w:rsidTr="00814EEB">
        <w:trPr>
          <w:trHeight w:val="240"/>
        </w:trPr>
        <w:tc>
          <w:tcPr>
            <w:tcW w:w="5542" w:type="dxa"/>
            <w:vAlign w:val="center"/>
          </w:tcPr>
          <w:p w:rsidR="00814EEB" w:rsidRPr="000946C7" w:rsidRDefault="00814EEB" w:rsidP="00C41CB2">
            <w:pPr>
              <w:ind w:left="7"/>
              <w:jc w:val="center"/>
              <w:rPr>
                <w:szCs w:val="24"/>
              </w:rPr>
            </w:pPr>
            <w:r w:rsidRPr="00814EEB">
              <w:rPr>
                <w:szCs w:val="24"/>
              </w:rPr>
              <w:t>Kurs opiekun osób starszych/niepełnosprawnych/niesamodzielnych/przewlekłe chorych/dorosłych/schorowanych</w:t>
            </w:r>
          </w:p>
        </w:tc>
        <w:tc>
          <w:tcPr>
            <w:tcW w:w="1167" w:type="dxa"/>
          </w:tcPr>
          <w:p w:rsidR="00814EEB" w:rsidRDefault="00814EEB" w:rsidP="00814EEB">
            <w:pPr>
              <w:jc w:val="center"/>
            </w:pPr>
            <w:r w:rsidRPr="00517D23">
              <w:rPr>
                <w:szCs w:val="24"/>
              </w:rPr>
              <w:t>osoba</w:t>
            </w:r>
          </w:p>
        </w:tc>
        <w:tc>
          <w:tcPr>
            <w:tcW w:w="1979" w:type="dxa"/>
            <w:vAlign w:val="center"/>
          </w:tcPr>
          <w:p w:rsidR="00814EEB" w:rsidRPr="000946C7" w:rsidRDefault="00853E74" w:rsidP="005F5C17">
            <w:pPr>
              <w:ind w:left="7"/>
              <w:jc w:val="center"/>
              <w:rPr>
                <w:szCs w:val="24"/>
              </w:rPr>
            </w:pPr>
            <w:r>
              <w:rPr>
                <w:szCs w:val="24"/>
              </w:rPr>
              <w:t>780,00 zł</w:t>
            </w:r>
          </w:p>
        </w:tc>
      </w:tr>
      <w:tr w:rsidR="002F25F9" w:rsidRPr="000946C7" w:rsidTr="00814EEB">
        <w:trPr>
          <w:trHeight w:val="240"/>
        </w:trPr>
        <w:tc>
          <w:tcPr>
            <w:tcW w:w="5542" w:type="dxa"/>
            <w:vAlign w:val="center"/>
          </w:tcPr>
          <w:p w:rsidR="002F25F9" w:rsidRDefault="002F25F9" w:rsidP="00C41CB2">
            <w:pPr>
              <w:ind w:left="7"/>
              <w:jc w:val="center"/>
              <w:rPr>
                <w:szCs w:val="24"/>
              </w:rPr>
            </w:pPr>
            <w:r>
              <w:rPr>
                <w:szCs w:val="24"/>
              </w:rPr>
              <w:t>Szkolenie językowe – j. angielski</w:t>
            </w:r>
            <w:r w:rsidR="00D62B16">
              <w:rPr>
                <w:szCs w:val="24"/>
              </w:rPr>
              <w:t xml:space="preserve"> (60h)</w:t>
            </w:r>
          </w:p>
        </w:tc>
        <w:tc>
          <w:tcPr>
            <w:tcW w:w="1167" w:type="dxa"/>
            <w:vAlign w:val="center"/>
          </w:tcPr>
          <w:p w:rsidR="002F25F9" w:rsidRDefault="002F25F9" w:rsidP="00C41CB2">
            <w:pPr>
              <w:ind w:left="7"/>
              <w:jc w:val="center"/>
              <w:rPr>
                <w:szCs w:val="24"/>
              </w:rPr>
            </w:pPr>
            <w:r>
              <w:rPr>
                <w:szCs w:val="24"/>
              </w:rPr>
              <w:t>osoba</w:t>
            </w:r>
          </w:p>
        </w:tc>
        <w:tc>
          <w:tcPr>
            <w:tcW w:w="1979" w:type="dxa"/>
            <w:vAlign w:val="center"/>
          </w:tcPr>
          <w:p w:rsidR="002F25F9" w:rsidRDefault="00D62B16" w:rsidP="005F5C17">
            <w:pPr>
              <w:ind w:left="7"/>
              <w:jc w:val="center"/>
              <w:rPr>
                <w:szCs w:val="24"/>
              </w:rPr>
            </w:pPr>
            <w:r>
              <w:rPr>
                <w:szCs w:val="24"/>
              </w:rPr>
              <w:t>900,00 zł</w:t>
            </w:r>
          </w:p>
        </w:tc>
      </w:tr>
      <w:tr w:rsidR="002F25F9" w:rsidRPr="000946C7" w:rsidTr="00814EEB">
        <w:trPr>
          <w:trHeight w:val="240"/>
        </w:trPr>
        <w:tc>
          <w:tcPr>
            <w:tcW w:w="5542" w:type="dxa"/>
            <w:vAlign w:val="center"/>
          </w:tcPr>
          <w:p w:rsidR="002F25F9" w:rsidRDefault="002F25F9" w:rsidP="00C41CB2">
            <w:pPr>
              <w:ind w:left="7"/>
              <w:jc w:val="center"/>
              <w:rPr>
                <w:szCs w:val="24"/>
              </w:rPr>
            </w:pPr>
            <w:r>
              <w:rPr>
                <w:szCs w:val="24"/>
              </w:rPr>
              <w:t>Szkolenie językowe – j. niemiecki</w:t>
            </w:r>
            <w:r w:rsidR="00D62B16">
              <w:rPr>
                <w:szCs w:val="24"/>
              </w:rPr>
              <w:t xml:space="preserve"> (60h)</w:t>
            </w:r>
          </w:p>
        </w:tc>
        <w:tc>
          <w:tcPr>
            <w:tcW w:w="1167" w:type="dxa"/>
            <w:vAlign w:val="center"/>
          </w:tcPr>
          <w:p w:rsidR="002F25F9" w:rsidRDefault="002F25F9" w:rsidP="00C41CB2">
            <w:pPr>
              <w:ind w:left="7"/>
              <w:jc w:val="center"/>
              <w:rPr>
                <w:szCs w:val="24"/>
              </w:rPr>
            </w:pPr>
            <w:r>
              <w:rPr>
                <w:szCs w:val="24"/>
              </w:rPr>
              <w:t>osoba</w:t>
            </w:r>
          </w:p>
        </w:tc>
        <w:tc>
          <w:tcPr>
            <w:tcW w:w="1979" w:type="dxa"/>
            <w:vAlign w:val="center"/>
          </w:tcPr>
          <w:p w:rsidR="002F25F9" w:rsidRDefault="00D62B16" w:rsidP="005F5C17">
            <w:pPr>
              <w:ind w:left="7"/>
              <w:jc w:val="center"/>
              <w:rPr>
                <w:szCs w:val="24"/>
              </w:rPr>
            </w:pPr>
            <w:r>
              <w:rPr>
                <w:szCs w:val="24"/>
              </w:rPr>
              <w:t>920,00 zł</w:t>
            </w:r>
          </w:p>
        </w:tc>
      </w:tr>
    </w:tbl>
    <w:p w:rsidR="00A012F4" w:rsidRDefault="00A012F4" w:rsidP="00A012F4">
      <w:pPr>
        <w:spacing w:after="0" w:line="240" w:lineRule="auto"/>
        <w:rPr>
          <w:sz w:val="20"/>
          <w:szCs w:val="20"/>
        </w:rPr>
      </w:pPr>
    </w:p>
    <w:p w:rsidR="00A012F4" w:rsidRDefault="00A012F4" w:rsidP="002C579B">
      <w:pPr>
        <w:spacing w:after="0" w:line="240" w:lineRule="auto"/>
        <w:rPr>
          <w:sz w:val="16"/>
          <w:szCs w:val="16"/>
        </w:rPr>
      </w:pPr>
      <w:r w:rsidRPr="002B1F53">
        <w:rPr>
          <w:sz w:val="20"/>
          <w:szCs w:val="20"/>
        </w:rPr>
        <w:t xml:space="preserve">* </w:t>
      </w:r>
      <w:r w:rsidR="00D04F20">
        <w:rPr>
          <w:sz w:val="16"/>
          <w:szCs w:val="16"/>
        </w:rPr>
        <w:t xml:space="preserve">stawkę </w:t>
      </w:r>
      <w:r w:rsidRPr="002B1F53">
        <w:rPr>
          <w:sz w:val="16"/>
          <w:szCs w:val="16"/>
        </w:rPr>
        <w:t>za badanie lekarskie określa Rozporządzenie Ministra Zdrowia w sprawie badań lekarskich osób ubiegających się o uprawnienia do kierowania pojazdami i kierowców</w:t>
      </w:r>
    </w:p>
    <w:p w:rsidR="002F25F9" w:rsidRDefault="002F25F9" w:rsidP="002C579B">
      <w:pPr>
        <w:spacing w:after="0" w:line="240" w:lineRule="auto"/>
        <w:rPr>
          <w:sz w:val="16"/>
          <w:szCs w:val="16"/>
        </w:rPr>
      </w:pPr>
    </w:p>
    <w:p w:rsidR="002F25F9" w:rsidRDefault="002F25F9" w:rsidP="002C579B">
      <w:pPr>
        <w:spacing w:after="0" w:line="240" w:lineRule="auto"/>
        <w:rPr>
          <w:szCs w:val="16"/>
        </w:rPr>
      </w:pPr>
    </w:p>
    <w:p w:rsidR="002F25F9" w:rsidRPr="00FB587D" w:rsidRDefault="002F25F9" w:rsidP="002F25F9">
      <w:pPr>
        <w:pStyle w:val="Nagwek3"/>
        <w:numPr>
          <w:ilvl w:val="0"/>
          <w:numId w:val="0"/>
        </w:numPr>
        <w:spacing w:before="0" w:line="240" w:lineRule="auto"/>
        <w:rPr>
          <w:rFonts w:asciiTheme="minorHAnsi" w:hAnsiTheme="minorHAnsi"/>
          <w:b w:val="0"/>
          <w:sz w:val="28"/>
          <w:szCs w:val="22"/>
          <w:u w:val="single"/>
        </w:rPr>
      </w:pPr>
      <w:r w:rsidRPr="00FB587D">
        <w:rPr>
          <w:rFonts w:asciiTheme="minorHAnsi" w:hAnsiTheme="minorHAnsi"/>
          <w:b w:val="0"/>
          <w:sz w:val="28"/>
          <w:szCs w:val="22"/>
          <w:u w:val="single"/>
        </w:rPr>
        <w:t xml:space="preserve">Tabela </w:t>
      </w:r>
      <w:r w:rsidR="00814EEB">
        <w:rPr>
          <w:rFonts w:asciiTheme="minorHAnsi" w:hAnsiTheme="minorHAnsi"/>
          <w:b w:val="0"/>
          <w:sz w:val="28"/>
          <w:szCs w:val="22"/>
          <w:u w:val="single"/>
        </w:rPr>
        <w:t>4</w:t>
      </w:r>
      <w:r w:rsidRPr="00FB587D">
        <w:rPr>
          <w:rFonts w:asciiTheme="minorHAnsi" w:hAnsiTheme="minorHAnsi"/>
          <w:b w:val="0"/>
          <w:sz w:val="28"/>
          <w:szCs w:val="22"/>
          <w:u w:val="single"/>
        </w:rPr>
        <w:t xml:space="preserve">. </w:t>
      </w:r>
    </w:p>
    <w:p w:rsidR="002F25F9" w:rsidRDefault="002F25F9" w:rsidP="002C579B">
      <w:pPr>
        <w:spacing w:after="0" w:line="240" w:lineRule="auto"/>
        <w:rPr>
          <w:szCs w:val="16"/>
        </w:rPr>
      </w:pPr>
    </w:p>
    <w:p w:rsidR="002F25F9" w:rsidRPr="002F25F9" w:rsidRDefault="002F25F9" w:rsidP="002C579B">
      <w:pPr>
        <w:spacing w:after="0" w:line="240" w:lineRule="auto"/>
        <w:rPr>
          <w:szCs w:val="16"/>
        </w:rPr>
      </w:pPr>
    </w:p>
    <w:tbl>
      <w:tblPr>
        <w:tblW w:w="8688"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794"/>
        <w:gridCol w:w="1417"/>
        <w:gridCol w:w="3477"/>
      </w:tblGrid>
      <w:tr w:rsidR="002F25F9" w:rsidRPr="000946C7" w:rsidTr="00D62B16">
        <w:trPr>
          <w:trHeight w:val="221"/>
        </w:trPr>
        <w:tc>
          <w:tcPr>
            <w:tcW w:w="8688" w:type="dxa"/>
            <w:gridSpan w:val="3"/>
            <w:shd w:val="clear" w:color="auto" w:fill="BFBFBF" w:themeFill="background1" w:themeFillShade="BF"/>
            <w:vAlign w:val="center"/>
          </w:tcPr>
          <w:p w:rsidR="002F25F9" w:rsidRPr="000946C7" w:rsidRDefault="002F25F9" w:rsidP="00D62B16">
            <w:pPr>
              <w:ind w:left="7"/>
              <w:jc w:val="center"/>
              <w:rPr>
                <w:b/>
              </w:rPr>
            </w:pPr>
            <w:r>
              <w:rPr>
                <w:b/>
              </w:rPr>
              <w:t>TŁUMACZENIA PISEMNE</w:t>
            </w:r>
          </w:p>
        </w:tc>
      </w:tr>
      <w:tr w:rsidR="002F25F9" w:rsidRPr="000946C7" w:rsidTr="00D62B16">
        <w:trPr>
          <w:trHeight w:val="636"/>
        </w:trPr>
        <w:tc>
          <w:tcPr>
            <w:tcW w:w="3794" w:type="dxa"/>
            <w:shd w:val="clear" w:color="auto" w:fill="D9D9D9" w:themeFill="background1" w:themeFillShade="D9"/>
            <w:vAlign w:val="center"/>
          </w:tcPr>
          <w:p w:rsidR="002F25F9" w:rsidRPr="000946C7" w:rsidRDefault="002F25F9" w:rsidP="00D62B16">
            <w:pPr>
              <w:ind w:left="7"/>
              <w:jc w:val="center"/>
              <w:rPr>
                <w:b/>
              </w:rPr>
            </w:pPr>
            <w:r>
              <w:rPr>
                <w:b/>
              </w:rPr>
              <w:t>Rodzaj szkolenia</w:t>
            </w:r>
          </w:p>
        </w:tc>
        <w:tc>
          <w:tcPr>
            <w:tcW w:w="1417" w:type="dxa"/>
            <w:shd w:val="clear" w:color="auto" w:fill="D9D9D9" w:themeFill="background1" w:themeFillShade="D9"/>
            <w:vAlign w:val="center"/>
          </w:tcPr>
          <w:p w:rsidR="002F25F9" w:rsidRPr="000946C7" w:rsidRDefault="002F25F9" w:rsidP="00D62B16">
            <w:pPr>
              <w:ind w:left="7"/>
              <w:jc w:val="center"/>
              <w:rPr>
                <w:b/>
              </w:rPr>
            </w:pPr>
            <w:r w:rsidRPr="000946C7">
              <w:rPr>
                <w:b/>
              </w:rPr>
              <w:t>Jednostka</w:t>
            </w:r>
          </w:p>
        </w:tc>
        <w:tc>
          <w:tcPr>
            <w:tcW w:w="3477" w:type="dxa"/>
            <w:shd w:val="clear" w:color="auto" w:fill="D9D9D9" w:themeFill="background1" w:themeFillShade="D9"/>
            <w:vAlign w:val="center"/>
          </w:tcPr>
          <w:p w:rsidR="002F25F9" w:rsidRPr="000946C7" w:rsidRDefault="002F25F9" w:rsidP="00D62B16">
            <w:pPr>
              <w:ind w:left="7"/>
              <w:jc w:val="center"/>
              <w:rPr>
                <w:b/>
              </w:rPr>
            </w:pPr>
            <w:r w:rsidRPr="000946C7">
              <w:rPr>
                <w:b/>
              </w:rPr>
              <w:t xml:space="preserve">Maksymalny dopuszczalny koszt </w:t>
            </w:r>
            <w:r w:rsidRPr="000946C7">
              <w:rPr>
                <w:b/>
              </w:rPr>
              <w:br/>
              <w:t>(w PLN)</w:t>
            </w:r>
          </w:p>
        </w:tc>
      </w:tr>
      <w:tr w:rsidR="002F25F9" w:rsidRPr="000946C7" w:rsidTr="00D62B16">
        <w:trPr>
          <w:trHeight w:val="240"/>
        </w:trPr>
        <w:tc>
          <w:tcPr>
            <w:tcW w:w="3794" w:type="dxa"/>
            <w:vAlign w:val="center"/>
          </w:tcPr>
          <w:p w:rsidR="002F25F9" w:rsidRPr="000946C7" w:rsidRDefault="002F25F9" w:rsidP="00D62B16">
            <w:pPr>
              <w:ind w:left="7"/>
              <w:jc w:val="center"/>
              <w:rPr>
                <w:szCs w:val="24"/>
              </w:rPr>
            </w:pPr>
            <w:r>
              <w:rPr>
                <w:szCs w:val="24"/>
              </w:rPr>
              <w:t>Tłumaczenie dokumentów z j. polskiego na j. angielski/niemiecki</w:t>
            </w:r>
          </w:p>
        </w:tc>
        <w:tc>
          <w:tcPr>
            <w:tcW w:w="1417" w:type="dxa"/>
            <w:vAlign w:val="center"/>
          </w:tcPr>
          <w:p w:rsidR="002F25F9" w:rsidRPr="000946C7" w:rsidRDefault="002F25F9" w:rsidP="00D62B16">
            <w:pPr>
              <w:ind w:left="7"/>
              <w:jc w:val="center"/>
              <w:rPr>
                <w:szCs w:val="24"/>
              </w:rPr>
            </w:pPr>
            <w:r>
              <w:rPr>
                <w:szCs w:val="24"/>
              </w:rPr>
              <w:t>strona</w:t>
            </w:r>
          </w:p>
        </w:tc>
        <w:tc>
          <w:tcPr>
            <w:tcW w:w="3477" w:type="dxa"/>
            <w:vAlign w:val="center"/>
          </w:tcPr>
          <w:p w:rsidR="002F25F9" w:rsidRPr="000946C7" w:rsidRDefault="00D62B16" w:rsidP="00D62B16">
            <w:pPr>
              <w:ind w:left="7"/>
              <w:jc w:val="center"/>
              <w:rPr>
                <w:szCs w:val="24"/>
              </w:rPr>
            </w:pPr>
            <w:r>
              <w:rPr>
                <w:szCs w:val="24"/>
              </w:rPr>
              <w:t>41,00 zł</w:t>
            </w:r>
          </w:p>
        </w:tc>
      </w:tr>
    </w:tbl>
    <w:p w:rsidR="006D02DF" w:rsidRDefault="006D02DF" w:rsidP="002C579B">
      <w:pPr>
        <w:spacing w:after="0" w:line="240" w:lineRule="auto"/>
        <w:rPr>
          <w:sz w:val="16"/>
          <w:szCs w:val="16"/>
        </w:rPr>
      </w:pPr>
    </w:p>
    <w:p w:rsidR="006D02DF" w:rsidRDefault="006D02DF" w:rsidP="002C579B">
      <w:pPr>
        <w:spacing w:after="0" w:line="240" w:lineRule="auto"/>
        <w:rPr>
          <w:sz w:val="16"/>
          <w:szCs w:val="16"/>
        </w:rPr>
      </w:pPr>
    </w:p>
    <w:p w:rsidR="006D02DF" w:rsidRPr="00814EEB" w:rsidRDefault="006D02DF" w:rsidP="006D02DF">
      <w:pPr>
        <w:pStyle w:val="Nagwek3"/>
        <w:numPr>
          <w:ilvl w:val="0"/>
          <w:numId w:val="0"/>
        </w:numPr>
        <w:spacing w:before="0" w:line="240" w:lineRule="auto"/>
        <w:rPr>
          <w:rFonts w:asciiTheme="minorHAnsi" w:hAnsiTheme="minorHAnsi"/>
          <w:b w:val="0"/>
          <w:sz w:val="28"/>
          <w:szCs w:val="22"/>
          <w:u w:val="single"/>
        </w:rPr>
      </w:pPr>
      <w:r w:rsidRPr="00814EEB">
        <w:rPr>
          <w:rFonts w:asciiTheme="minorHAnsi" w:hAnsiTheme="minorHAnsi"/>
          <w:b w:val="0"/>
          <w:sz w:val="28"/>
          <w:szCs w:val="22"/>
          <w:u w:val="single"/>
        </w:rPr>
        <w:t xml:space="preserve">Tabela </w:t>
      </w:r>
      <w:r w:rsidR="00814EEB" w:rsidRPr="00814EEB">
        <w:rPr>
          <w:rFonts w:asciiTheme="minorHAnsi" w:hAnsiTheme="minorHAnsi"/>
          <w:b w:val="0"/>
          <w:sz w:val="28"/>
          <w:szCs w:val="22"/>
          <w:u w:val="single"/>
        </w:rPr>
        <w:t>5</w:t>
      </w:r>
      <w:r w:rsidRPr="00814EEB">
        <w:rPr>
          <w:rFonts w:asciiTheme="minorHAnsi" w:hAnsiTheme="minorHAnsi"/>
          <w:b w:val="0"/>
          <w:sz w:val="28"/>
          <w:szCs w:val="22"/>
          <w:u w:val="single"/>
        </w:rPr>
        <w:t xml:space="preserve">. </w:t>
      </w:r>
    </w:p>
    <w:p w:rsidR="006D02DF" w:rsidRPr="00814EEB" w:rsidRDefault="006D02DF" w:rsidP="002C579B">
      <w:pPr>
        <w:spacing w:after="0" w:line="240" w:lineRule="auto"/>
        <w:rPr>
          <w:sz w:val="16"/>
          <w:szCs w:val="16"/>
        </w:rPr>
      </w:pPr>
    </w:p>
    <w:p w:rsidR="006D02DF" w:rsidRPr="00814EEB" w:rsidRDefault="006D02DF" w:rsidP="002C579B">
      <w:pPr>
        <w:spacing w:after="0" w:line="240" w:lineRule="auto"/>
        <w:rPr>
          <w:sz w:val="16"/>
          <w:szCs w:val="16"/>
        </w:rPr>
      </w:pPr>
    </w:p>
    <w:tbl>
      <w:tblPr>
        <w:tblStyle w:val="Tabela-Siatka"/>
        <w:tblW w:w="0" w:type="auto"/>
        <w:tblLayout w:type="fixed"/>
        <w:tblLook w:val="04A0"/>
      </w:tblPr>
      <w:tblGrid>
        <w:gridCol w:w="3510"/>
        <w:gridCol w:w="1560"/>
        <w:gridCol w:w="4394"/>
      </w:tblGrid>
      <w:tr w:rsidR="006D02DF" w:rsidRPr="00814EEB" w:rsidTr="00653EB2">
        <w:trPr>
          <w:trHeight w:val="689"/>
        </w:trPr>
        <w:tc>
          <w:tcPr>
            <w:tcW w:w="9464" w:type="dxa"/>
            <w:gridSpan w:val="3"/>
            <w:shd w:val="clear" w:color="auto" w:fill="BFBFBF" w:themeFill="background1" w:themeFillShade="BF"/>
            <w:vAlign w:val="center"/>
          </w:tcPr>
          <w:p w:rsidR="006D02DF" w:rsidRPr="00814EEB" w:rsidRDefault="006D02DF" w:rsidP="00653EB2">
            <w:pPr>
              <w:jc w:val="center"/>
              <w:rPr>
                <w:rFonts w:cstheme="minorHAnsi"/>
                <w:b/>
              </w:rPr>
            </w:pPr>
            <w:r w:rsidRPr="00814EEB">
              <w:rPr>
                <w:rFonts w:cstheme="minorHAnsi"/>
                <w:b/>
              </w:rPr>
              <w:t>MECHANIZM RACJONALNYCH USPRAWNIEŃ</w:t>
            </w:r>
          </w:p>
        </w:tc>
      </w:tr>
      <w:tr w:rsidR="006D02DF" w:rsidRPr="00814EEB" w:rsidTr="00653EB2">
        <w:tc>
          <w:tcPr>
            <w:tcW w:w="3510" w:type="dxa"/>
            <w:shd w:val="clear" w:color="auto" w:fill="D9D9D9" w:themeFill="background1" w:themeFillShade="D9"/>
            <w:vAlign w:val="center"/>
          </w:tcPr>
          <w:p w:rsidR="006D02DF" w:rsidRPr="00814EEB" w:rsidRDefault="006D02DF" w:rsidP="00653EB2">
            <w:pPr>
              <w:spacing w:line="480" w:lineRule="auto"/>
              <w:jc w:val="center"/>
              <w:rPr>
                <w:rFonts w:cstheme="minorHAnsi"/>
                <w:u w:val="single"/>
              </w:rPr>
            </w:pPr>
            <w:r w:rsidRPr="00814EEB">
              <w:rPr>
                <w:rFonts w:cstheme="minorHAnsi"/>
                <w:b/>
              </w:rPr>
              <w:t>Rodzaj wydatku</w:t>
            </w:r>
          </w:p>
        </w:tc>
        <w:tc>
          <w:tcPr>
            <w:tcW w:w="1560" w:type="dxa"/>
            <w:shd w:val="clear" w:color="auto" w:fill="D9D9D9" w:themeFill="background1" w:themeFillShade="D9"/>
            <w:vAlign w:val="center"/>
          </w:tcPr>
          <w:p w:rsidR="006D02DF" w:rsidRPr="00814EEB" w:rsidRDefault="006D02DF" w:rsidP="00653EB2">
            <w:pPr>
              <w:jc w:val="center"/>
              <w:rPr>
                <w:rFonts w:cstheme="minorHAnsi"/>
                <w:b/>
              </w:rPr>
            </w:pPr>
            <w:r w:rsidRPr="00814EEB">
              <w:rPr>
                <w:rFonts w:cstheme="minorHAnsi"/>
                <w:b/>
              </w:rPr>
              <w:t>Jednostka</w:t>
            </w:r>
          </w:p>
        </w:tc>
        <w:tc>
          <w:tcPr>
            <w:tcW w:w="4394" w:type="dxa"/>
            <w:shd w:val="clear" w:color="auto" w:fill="D9D9D9" w:themeFill="background1" w:themeFillShade="D9"/>
            <w:vAlign w:val="center"/>
          </w:tcPr>
          <w:p w:rsidR="006D02DF" w:rsidRPr="00814EEB" w:rsidRDefault="006D02DF" w:rsidP="00653EB2">
            <w:pPr>
              <w:jc w:val="center"/>
              <w:rPr>
                <w:rFonts w:cstheme="minorHAnsi"/>
                <w:b/>
              </w:rPr>
            </w:pPr>
            <w:r w:rsidRPr="00814EEB">
              <w:rPr>
                <w:rFonts w:eastAsia="Calibri" w:cstheme="minorHAnsi"/>
                <w:b/>
                <w:bCs/>
                <w:iCs/>
                <w:color w:val="000000"/>
              </w:rPr>
              <w:t>Maksymalna</w:t>
            </w:r>
            <w:r w:rsidRPr="00814EEB">
              <w:rPr>
                <w:rFonts w:cstheme="minorHAnsi"/>
                <w:b/>
              </w:rPr>
              <w:t xml:space="preserve"> dopuszczalna stawka na osobę</w:t>
            </w:r>
          </w:p>
        </w:tc>
      </w:tr>
      <w:tr w:rsidR="006D02DF" w:rsidRPr="00814EEB" w:rsidTr="00653EB2">
        <w:trPr>
          <w:trHeight w:val="514"/>
        </w:trPr>
        <w:tc>
          <w:tcPr>
            <w:tcW w:w="3510" w:type="dxa"/>
            <w:vAlign w:val="center"/>
          </w:tcPr>
          <w:p w:rsidR="006D02DF" w:rsidRPr="00814EEB" w:rsidRDefault="006D02DF" w:rsidP="00653EB2">
            <w:pPr>
              <w:jc w:val="center"/>
              <w:rPr>
                <w:rFonts w:cstheme="minorHAnsi"/>
              </w:rPr>
            </w:pPr>
            <w:r w:rsidRPr="00814EEB">
              <w:rPr>
                <w:rFonts w:cstheme="minorHAnsi"/>
              </w:rPr>
              <w:t xml:space="preserve">Koszty racjonalnych usprawnień </w:t>
            </w:r>
          </w:p>
        </w:tc>
        <w:tc>
          <w:tcPr>
            <w:tcW w:w="1560" w:type="dxa"/>
            <w:vAlign w:val="center"/>
          </w:tcPr>
          <w:p w:rsidR="006D02DF" w:rsidRPr="00814EEB" w:rsidRDefault="006D02DF" w:rsidP="00653EB2">
            <w:pPr>
              <w:jc w:val="center"/>
              <w:rPr>
                <w:rFonts w:cstheme="minorHAnsi"/>
              </w:rPr>
            </w:pPr>
            <w:r w:rsidRPr="00814EEB">
              <w:rPr>
                <w:rFonts w:cstheme="minorHAnsi"/>
              </w:rPr>
              <w:t>osoba</w:t>
            </w:r>
          </w:p>
        </w:tc>
        <w:tc>
          <w:tcPr>
            <w:tcW w:w="4394" w:type="dxa"/>
            <w:vAlign w:val="center"/>
          </w:tcPr>
          <w:p w:rsidR="006D02DF" w:rsidRPr="00814EEB" w:rsidRDefault="006D02DF" w:rsidP="00653EB2">
            <w:pPr>
              <w:jc w:val="right"/>
              <w:rPr>
                <w:rFonts w:cstheme="minorHAnsi"/>
                <w:color w:val="000000" w:themeColor="text1"/>
              </w:rPr>
            </w:pPr>
            <w:r w:rsidRPr="00814EEB">
              <w:rPr>
                <w:rFonts w:cstheme="minorHAnsi"/>
                <w:color w:val="000000" w:themeColor="text1"/>
              </w:rPr>
              <w:t>12 000,00 zł</w:t>
            </w:r>
          </w:p>
        </w:tc>
      </w:tr>
    </w:tbl>
    <w:p w:rsidR="006D02DF" w:rsidRPr="00814EEB" w:rsidRDefault="006D02DF" w:rsidP="002C579B">
      <w:pPr>
        <w:spacing w:after="0" w:line="240" w:lineRule="auto"/>
        <w:rPr>
          <w:sz w:val="16"/>
          <w:szCs w:val="16"/>
        </w:rPr>
      </w:pPr>
    </w:p>
    <w:p w:rsidR="006D02DF" w:rsidRPr="00814EEB" w:rsidRDefault="006D02DF" w:rsidP="002C579B">
      <w:pPr>
        <w:spacing w:after="0" w:line="240" w:lineRule="auto"/>
        <w:rPr>
          <w:sz w:val="16"/>
          <w:szCs w:val="16"/>
        </w:rPr>
      </w:pPr>
    </w:p>
    <w:p w:rsidR="006D02DF" w:rsidRPr="00814EEB" w:rsidRDefault="006D02DF" w:rsidP="002C579B">
      <w:pPr>
        <w:spacing w:after="0" w:line="240" w:lineRule="auto"/>
        <w:rPr>
          <w:sz w:val="16"/>
          <w:szCs w:val="16"/>
        </w:rPr>
      </w:pPr>
    </w:p>
    <w:p w:rsidR="006D02DF" w:rsidRPr="00814EEB" w:rsidRDefault="006D02DF" w:rsidP="006D02DF">
      <w:pPr>
        <w:spacing w:line="240" w:lineRule="auto"/>
        <w:jc w:val="both"/>
        <w:rPr>
          <w:color w:val="000000" w:themeColor="text1"/>
          <w:sz w:val="28"/>
          <w:szCs w:val="28"/>
          <w:u w:val="single"/>
        </w:rPr>
      </w:pPr>
      <w:r w:rsidRPr="00814EEB">
        <w:rPr>
          <w:color w:val="000000" w:themeColor="text1"/>
          <w:sz w:val="20"/>
          <w:szCs w:val="20"/>
        </w:rPr>
        <w:t xml:space="preserve">Zgodnie z Wytycznymi w zakresie realizacji zasady równości szans i niedyskryminacji, w tym dostępności dla osób z </w:t>
      </w:r>
      <w:proofErr w:type="spellStart"/>
      <w:r w:rsidRPr="00814EEB">
        <w:rPr>
          <w:color w:val="000000" w:themeColor="text1"/>
          <w:sz w:val="20"/>
          <w:szCs w:val="20"/>
        </w:rPr>
        <w:t>niepełnosprawnościami</w:t>
      </w:r>
      <w:proofErr w:type="spellEnd"/>
      <w:r w:rsidRPr="00814EEB">
        <w:rPr>
          <w:color w:val="000000" w:themeColor="text1"/>
          <w:sz w:val="20"/>
          <w:szCs w:val="20"/>
        </w:rPr>
        <w:t xml:space="preserve"> oraz zasady równości szans kobiet i mężczyzn w ramach funduszy unijnych na lata 2014-2020 koszty racjonalnych usprawnień są przykładowym katalogiem kosztów możliwych do poniesienia w ramach projektu.</w:t>
      </w:r>
    </w:p>
    <w:p w:rsidR="006D02DF" w:rsidRPr="00814EEB" w:rsidRDefault="006D02DF" w:rsidP="006D02DF">
      <w:pPr>
        <w:spacing w:line="240" w:lineRule="auto"/>
        <w:jc w:val="both"/>
        <w:rPr>
          <w:rFonts w:cs="Times New Roman"/>
          <w:sz w:val="20"/>
          <w:szCs w:val="20"/>
        </w:rPr>
      </w:pPr>
      <w:r w:rsidRPr="00814EEB">
        <w:rPr>
          <w:rFonts w:cs="Times New Roman"/>
          <w:sz w:val="20"/>
          <w:szCs w:val="20"/>
        </w:rPr>
        <w:lastRenderedPageBreak/>
        <w:t xml:space="preserve">Mechanizm racjonalnych usprawnień to konieczne i odpowiednie zmiany oraz dostosowania, nienakładające nieproporcjonalnego lub nadmiernego obciążenia, rozpatrywane osobno dla każdego konkretnego przypadku, w celu zapewnienia osobom z </w:t>
      </w:r>
      <w:proofErr w:type="spellStart"/>
      <w:r w:rsidRPr="00814EEB">
        <w:rPr>
          <w:rFonts w:cs="Times New Roman"/>
          <w:sz w:val="20"/>
          <w:szCs w:val="20"/>
        </w:rPr>
        <w:t>niepełnosprawnościami</w:t>
      </w:r>
      <w:proofErr w:type="spellEnd"/>
      <w:r w:rsidRPr="00814EEB">
        <w:rPr>
          <w:rFonts w:cs="Times New Roman"/>
          <w:sz w:val="20"/>
          <w:szCs w:val="20"/>
        </w:rPr>
        <w:t xml:space="preserve"> możliwości korzystania z wszelkich praw człowieka </w:t>
      </w:r>
      <w:r w:rsidR="00D663D6" w:rsidRPr="00814EEB">
        <w:rPr>
          <w:rFonts w:cs="Times New Roman"/>
          <w:sz w:val="20"/>
          <w:szCs w:val="20"/>
        </w:rPr>
        <w:br/>
      </w:r>
      <w:r w:rsidRPr="00814EEB">
        <w:rPr>
          <w:rFonts w:cs="Times New Roman"/>
          <w:sz w:val="20"/>
          <w:szCs w:val="20"/>
        </w:rPr>
        <w:t>i podstawowych wolności oraz ich wykonywania na zasadzie równości z innymi osobami.</w:t>
      </w:r>
    </w:p>
    <w:p w:rsidR="006D02DF" w:rsidRPr="00814EEB" w:rsidRDefault="006D02DF" w:rsidP="006D02DF">
      <w:pPr>
        <w:spacing w:line="240" w:lineRule="auto"/>
        <w:jc w:val="both"/>
        <w:rPr>
          <w:rFonts w:cs="Times New Roman"/>
          <w:sz w:val="20"/>
          <w:szCs w:val="20"/>
        </w:rPr>
      </w:pPr>
      <w:r w:rsidRPr="00814EEB">
        <w:rPr>
          <w:rFonts w:cs="Times New Roman"/>
          <w:sz w:val="20"/>
          <w:szCs w:val="20"/>
        </w:rPr>
        <w:t xml:space="preserve">W projektach ogólnodostępnych w celu zapewnienia możliwości pełnego uczestnictwa osób </w:t>
      </w:r>
      <w:r w:rsidR="00D663D6" w:rsidRPr="00814EEB">
        <w:rPr>
          <w:rFonts w:cs="Times New Roman"/>
          <w:sz w:val="20"/>
          <w:szCs w:val="20"/>
        </w:rPr>
        <w:br/>
      </w:r>
      <w:r w:rsidRPr="00814EEB">
        <w:rPr>
          <w:rFonts w:cs="Times New Roman"/>
          <w:sz w:val="20"/>
          <w:szCs w:val="20"/>
        </w:rPr>
        <w:t xml:space="preserve">z </w:t>
      </w:r>
      <w:proofErr w:type="spellStart"/>
      <w:r w:rsidRPr="00814EEB">
        <w:rPr>
          <w:rFonts w:cs="Times New Roman"/>
          <w:sz w:val="20"/>
          <w:szCs w:val="20"/>
        </w:rPr>
        <w:t>niepełnosprawnościami</w:t>
      </w:r>
      <w:proofErr w:type="spellEnd"/>
      <w:r w:rsidRPr="00814EEB">
        <w:rPr>
          <w:rFonts w:cs="Times New Roman"/>
          <w:sz w:val="20"/>
          <w:szCs w:val="20"/>
        </w:rPr>
        <w:t xml:space="preserve"> należy zastosować mechanizm racjonalnych usprawnień.</w:t>
      </w:r>
      <w:r w:rsidRPr="00814EEB">
        <w:rPr>
          <w:rFonts w:cs="Times New Roman"/>
          <w:sz w:val="20"/>
          <w:szCs w:val="20"/>
        </w:rPr>
        <w:tab/>
      </w:r>
    </w:p>
    <w:p w:rsidR="006D02DF" w:rsidRPr="00814EEB" w:rsidRDefault="006D02DF" w:rsidP="006D02DF">
      <w:pPr>
        <w:spacing w:line="240" w:lineRule="auto"/>
        <w:jc w:val="both"/>
        <w:rPr>
          <w:rFonts w:cs="Times New Roman"/>
          <w:sz w:val="20"/>
          <w:szCs w:val="20"/>
        </w:rPr>
      </w:pPr>
      <w:r w:rsidRPr="00814EEB">
        <w:rPr>
          <w:rFonts w:cs="Times New Roman"/>
          <w:sz w:val="20"/>
          <w:szCs w:val="20"/>
        </w:rPr>
        <w:t xml:space="preserve">W projektach dedykowanych, w tym zorientowanych wyłącznie lub przede wszystkim na osoby </w:t>
      </w:r>
      <w:r w:rsidR="00D663D6" w:rsidRPr="00814EEB">
        <w:rPr>
          <w:rFonts w:cs="Times New Roman"/>
          <w:sz w:val="20"/>
          <w:szCs w:val="20"/>
        </w:rPr>
        <w:br/>
      </w:r>
      <w:r w:rsidRPr="00814EEB">
        <w:rPr>
          <w:rFonts w:cs="Times New Roman"/>
          <w:sz w:val="20"/>
          <w:szCs w:val="20"/>
        </w:rPr>
        <w:t xml:space="preserve">z </w:t>
      </w:r>
      <w:proofErr w:type="spellStart"/>
      <w:r w:rsidRPr="00814EEB">
        <w:rPr>
          <w:rFonts w:cs="Times New Roman"/>
          <w:sz w:val="20"/>
          <w:szCs w:val="20"/>
        </w:rPr>
        <w:t>niepełnosprawnościami</w:t>
      </w:r>
      <w:proofErr w:type="spellEnd"/>
      <w:r w:rsidRPr="00814EEB">
        <w:rPr>
          <w:rFonts w:cs="Times New Roman"/>
          <w:sz w:val="20"/>
          <w:szCs w:val="20"/>
        </w:rPr>
        <w:t xml:space="preserve"> (np. osoby z </w:t>
      </w:r>
      <w:proofErr w:type="spellStart"/>
      <w:r w:rsidRPr="00814EEB">
        <w:rPr>
          <w:rFonts w:cs="Times New Roman"/>
          <w:sz w:val="20"/>
          <w:szCs w:val="20"/>
        </w:rPr>
        <w:t>niepełnosprawnościami</w:t>
      </w:r>
      <w:proofErr w:type="spellEnd"/>
      <w:r w:rsidRPr="00814EEB">
        <w:rPr>
          <w:rFonts w:cs="Times New Roman"/>
          <w:sz w:val="20"/>
          <w:szCs w:val="20"/>
        </w:rPr>
        <w:t xml:space="preserve"> sprzężonymi) oraz projektach skierowanych do zamkniętej grupy uczestników (np. dzieci określonego ośrodka wychowania przedszkolnego), wydatki na sfinansowanie mechanizmu racjonalnych usprawnień są wskazane we wniosku o dofinansowanie projektu.</w:t>
      </w:r>
    </w:p>
    <w:p w:rsidR="006D02DF" w:rsidRPr="00814EEB" w:rsidRDefault="006D02DF" w:rsidP="006D02DF">
      <w:pPr>
        <w:spacing w:line="240" w:lineRule="auto"/>
        <w:jc w:val="both"/>
        <w:rPr>
          <w:rFonts w:cs="Times New Roman"/>
          <w:sz w:val="20"/>
          <w:szCs w:val="20"/>
        </w:rPr>
      </w:pPr>
      <w:r w:rsidRPr="00814EEB">
        <w:rPr>
          <w:rFonts w:cs="Times New Roman"/>
          <w:sz w:val="20"/>
          <w:szCs w:val="20"/>
        </w:rPr>
        <w:t xml:space="preserve">Za osoby z </w:t>
      </w:r>
      <w:proofErr w:type="spellStart"/>
      <w:r w:rsidRPr="00814EEB">
        <w:rPr>
          <w:rFonts w:cs="Times New Roman"/>
          <w:sz w:val="20"/>
          <w:szCs w:val="20"/>
        </w:rPr>
        <w:t>niepełnosprawnościami</w:t>
      </w:r>
      <w:proofErr w:type="spellEnd"/>
      <w:r w:rsidRPr="00814EEB">
        <w:rPr>
          <w:rFonts w:cs="Times New Roman"/>
          <w:sz w:val="20"/>
          <w:szCs w:val="20"/>
        </w:rPr>
        <w:t xml:space="preserve"> należy uznać osoby niepełnosprawne w rozumieniu ustawy z dnia 27 sierpnia 1997 r. o rehabilitacji zawodowej i społecznej oraz zatrudnianiu osób niepełnosprawnych (Dz. U. z 2011 r. Nr 127, poz. 721, z </w:t>
      </w:r>
      <w:proofErr w:type="spellStart"/>
      <w:r w:rsidRPr="00814EEB">
        <w:rPr>
          <w:rFonts w:cs="Times New Roman"/>
          <w:sz w:val="20"/>
          <w:szCs w:val="20"/>
        </w:rPr>
        <w:t>późn</w:t>
      </w:r>
      <w:proofErr w:type="spellEnd"/>
      <w:r w:rsidRPr="00814EEB">
        <w:rPr>
          <w:rFonts w:cs="Times New Roman"/>
          <w:sz w:val="20"/>
          <w:szCs w:val="20"/>
        </w:rPr>
        <w:t>. zm.), a także osoby z zaburzeniami psychicznymi, w rozumieniu ustawy z dnia 19 sierpnia 1994 r. o ochronie zdrowia psychicznego (Dz. U. z 2011 r. Nr 231, poz. 1375).</w:t>
      </w:r>
    </w:p>
    <w:p w:rsidR="006D02DF" w:rsidRPr="00814EEB" w:rsidRDefault="006D02DF" w:rsidP="006D02DF">
      <w:pPr>
        <w:spacing w:line="240" w:lineRule="auto"/>
        <w:jc w:val="both"/>
        <w:rPr>
          <w:rFonts w:cs="Times New Roman"/>
          <w:sz w:val="20"/>
          <w:szCs w:val="20"/>
        </w:rPr>
      </w:pPr>
      <w:r w:rsidRPr="00814EEB">
        <w:rPr>
          <w:rFonts w:cs="Times New Roman"/>
          <w:sz w:val="20"/>
          <w:szCs w:val="20"/>
        </w:rPr>
        <w:t>Każde racjonalne usprawnienie wynika z relacji przynajmniej trzech czynników: dysfunkcji związanej z danym uczestnikiem projektu, barier otoczenia oraz charakteru usługi realizowanej w ramach projektu.</w:t>
      </w:r>
    </w:p>
    <w:p w:rsidR="006D02DF" w:rsidRPr="00814EEB" w:rsidRDefault="006D02DF" w:rsidP="006D02DF">
      <w:pPr>
        <w:spacing w:line="240" w:lineRule="auto"/>
        <w:jc w:val="both"/>
        <w:rPr>
          <w:rFonts w:cs="Times New Roman"/>
          <w:sz w:val="20"/>
          <w:szCs w:val="20"/>
        </w:rPr>
      </w:pPr>
      <w:r w:rsidRPr="00814EEB">
        <w:rPr>
          <w:rFonts w:cs="Times New Roman"/>
          <w:sz w:val="20"/>
          <w:szCs w:val="20"/>
        </w:rPr>
        <w:t>W ramach przykładowego katalogu kosztów racjonalnych usprawnień jest możliwe sfinansowanie:</w:t>
      </w:r>
    </w:p>
    <w:p w:rsidR="006D02DF" w:rsidRPr="00814EEB" w:rsidRDefault="006D02DF" w:rsidP="006D02DF">
      <w:pPr>
        <w:spacing w:line="240" w:lineRule="auto"/>
        <w:ind w:left="709" w:hanging="425"/>
        <w:jc w:val="both"/>
        <w:rPr>
          <w:rFonts w:cs="Times New Roman"/>
          <w:sz w:val="20"/>
          <w:szCs w:val="20"/>
        </w:rPr>
      </w:pPr>
      <w:r w:rsidRPr="00814EEB">
        <w:rPr>
          <w:rFonts w:cs="Times New Roman"/>
          <w:sz w:val="20"/>
          <w:szCs w:val="20"/>
        </w:rPr>
        <w:t>a) kosztów specjalistycznego transportu na miejsce realizacji wsparcia;</w:t>
      </w:r>
    </w:p>
    <w:p w:rsidR="006D02DF" w:rsidRPr="00814EEB" w:rsidRDefault="006D02DF" w:rsidP="006D02DF">
      <w:pPr>
        <w:spacing w:line="240" w:lineRule="auto"/>
        <w:ind w:left="567" w:hanging="283"/>
        <w:jc w:val="both"/>
        <w:rPr>
          <w:rFonts w:cs="Times New Roman"/>
          <w:sz w:val="20"/>
          <w:szCs w:val="20"/>
        </w:rPr>
      </w:pPr>
      <w:r w:rsidRPr="00814EEB">
        <w:rPr>
          <w:rFonts w:cs="Times New Roman"/>
          <w:sz w:val="20"/>
          <w:szCs w:val="20"/>
        </w:rPr>
        <w:t>b)</w:t>
      </w:r>
      <w:r w:rsidRPr="00814EEB">
        <w:rPr>
          <w:rFonts w:cs="Times New Roman"/>
          <w:sz w:val="20"/>
          <w:szCs w:val="20"/>
        </w:rPr>
        <w:tab/>
        <w:t xml:space="preserve">dostosowania architektonicznego budynków niedostępnych (np. zmiana miejsca realizacji projektu; budowa tymczasowych podjazdów; montaż platform, wind, podnośników; właściwe oznakowanie budynków poprzez wprowadzanie elementów kontrastowych i wypukłych celem właściwego oznakowania dla osób niewidomych i </w:t>
      </w:r>
      <w:proofErr w:type="spellStart"/>
      <w:r w:rsidRPr="00814EEB">
        <w:rPr>
          <w:rFonts w:cs="Times New Roman"/>
          <w:sz w:val="20"/>
          <w:szCs w:val="20"/>
        </w:rPr>
        <w:t>słabowidzących</w:t>
      </w:r>
      <w:proofErr w:type="spellEnd"/>
      <w:r w:rsidRPr="00814EEB">
        <w:rPr>
          <w:rFonts w:cs="Times New Roman"/>
          <w:sz w:val="20"/>
          <w:szCs w:val="20"/>
        </w:rPr>
        <w:t xml:space="preserve"> itp.);</w:t>
      </w:r>
    </w:p>
    <w:p w:rsidR="006D02DF" w:rsidRPr="00814EEB" w:rsidRDefault="006D02DF" w:rsidP="006D02DF">
      <w:pPr>
        <w:spacing w:line="240" w:lineRule="auto"/>
        <w:ind w:left="567" w:hanging="283"/>
        <w:jc w:val="both"/>
        <w:rPr>
          <w:rFonts w:cs="Times New Roman"/>
          <w:sz w:val="20"/>
          <w:szCs w:val="20"/>
        </w:rPr>
      </w:pPr>
      <w:r w:rsidRPr="00814EEB">
        <w:rPr>
          <w:rFonts w:cs="Times New Roman"/>
          <w:sz w:val="20"/>
          <w:szCs w:val="20"/>
        </w:rPr>
        <w:t>c)</w:t>
      </w:r>
      <w:r w:rsidRPr="00814EEB">
        <w:rPr>
          <w:rFonts w:cs="Times New Roman"/>
          <w:sz w:val="20"/>
          <w:szCs w:val="20"/>
        </w:rPr>
        <w:tab/>
        <w:t xml:space="preserve">dostosowania infrastruktury komputerowej (np. wynajęcie lub zakup i instalacja programów powiększających, mówiących, kamer do kontaktu z osobą posługującą się językiem migowym, drukarek materiałów w alfabecie </w:t>
      </w:r>
      <w:proofErr w:type="spellStart"/>
      <w:r w:rsidRPr="00814EEB">
        <w:rPr>
          <w:rFonts w:cs="Times New Roman"/>
          <w:sz w:val="20"/>
          <w:szCs w:val="20"/>
        </w:rPr>
        <w:t>Braille’a</w:t>
      </w:r>
      <w:proofErr w:type="spellEnd"/>
      <w:r w:rsidRPr="00814EEB">
        <w:rPr>
          <w:rFonts w:cs="Times New Roman"/>
          <w:sz w:val="20"/>
          <w:szCs w:val="20"/>
        </w:rPr>
        <w:t>);</w:t>
      </w:r>
    </w:p>
    <w:p w:rsidR="006D02DF" w:rsidRPr="00814EEB" w:rsidRDefault="006D02DF" w:rsidP="006D02DF">
      <w:pPr>
        <w:spacing w:line="240" w:lineRule="auto"/>
        <w:ind w:left="567" w:hanging="283"/>
        <w:jc w:val="both"/>
        <w:rPr>
          <w:rFonts w:cs="Times New Roman"/>
          <w:sz w:val="20"/>
          <w:szCs w:val="20"/>
        </w:rPr>
      </w:pPr>
      <w:r w:rsidRPr="00814EEB">
        <w:rPr>
          <w:rFonts w:cs="Times New Roman"/>
          <w:sz w:val="20"/>
          <w:szCs w:val="20"/>
        </w:rPr>
        <w:t>d) dostosowania akustycznego (wynajęcie lub zakup i montaż systemów wspomagających słyszenie, np. pętli indukcyjnych, systemów FM);</w:t>
      </w:r>
    </w:p>
    <w:p w:rsidR="006D02DF" w:rsidRPr="00814EEB" w:rsidRDefault="006D02DF" w:rsidP="006D02DF">
      <w:pPr>
        <w:spacing w:line="240" w:lineRule="auto"/>
        <w:ind w:left="709" w:hanging="425"/>
        <w:jc w:val="both"/>
        <w:rPr>
          <w:rFonts w:cs="Times New Roman"/>
          <w:sz w:val="20"/>
          <w:szCs w:val="20"/>
        </w:rPr>
      </w:pPr>
      <w:r w:rsidRPr="00814EEB">
        <w:rPr>
          <w:rFonts w:cs="Times New Roman"/>
          <w:sz w:val="20"/>
          <w:szCs w:val="20"/>
        </w:rPr>
        <w:t>e) asystenta tłumaczącego na język łatwy;</w:t>
      </w:r>
    </w:p>
    <w:p w:rsidR="006D02DF" w:rsidRPr="00814EEB" w:rsidRDefault="006D02DF" w:rsidP="006D02DF">
      <w:pPr>
        <w:spacing w:line="240" w:lineRule="auto"/>
        <w:ind w:left="709" w:hanging="425"/>
        <w:jc w:val="both"/>
        <w:rPr>
          <w:rFonts w:cs="Times New Roman"/>
          <w:sz w:val="20"/>
          <w:szCs w:val="20"/>
        </w:rPr>
      </w:pPr>
      <w:r w:rsidRPr="00814EEB">
        <w:rPr>
          <w:rFonts w:cs="Times New Roman"/>
          <w:sz w:val="20"/>
          <w:szCs w:val="20"/>
        </w:rPr>
        <w:t>f) asystenta osoby z niepełnosprawnością;</w:t>
      </w:r>
    </w:p>
    <w:p w:rsidR="006D02DF" w:rsidRPr="00814EEB" w:rsidRDefault="006D02DF" w:rsidP="006D02DF">
      <w:pPr>
        <w:spacing w:line="240" w:lineRule="auto"/>
        <w:ind w:left="709" w:hanging="425"/>
        <w:jc w:val="both"/>
        <w:rPr>
          <w:rFonts w:cs="Times New Roman"/>
          <w:sz w:val="20"/>
          <w:szCs w:val="20"/>
        </w:rPr>
      </w:pPr>
      <w:r w:rsidRPr="00814EEB">
        <w:rPr>
          <w:rFonts w:cs="Times New Roman"/>
          <w:sz w:val="20"/>
          <w:szCs w:val="20"/>
        </w:rPr>
        <w:t>g) tłumacza języka migowego lub tłumacza-przewodnika;</w:t>
      </w:r>
    </w:p>
    <w:p w:rsidR="006D02DF" w:rsidRPr="00814EEB" w:rsidRDefault="006D02DF" w:rsidP="006D02DF">
      <w:pPr>
        <w:spacing w:line="240" w:lineRule="auto"/>
        <w:ind w:left="709" w:hanging="425"/>
        <w:jc w:val="both"/>
        <w:rPr>
          <w:rFonts w:cs="Times New Roman"/>
          <w:sz w:val="20"/>
          <w:szCs w:val="20"/>
        </w:rPr>
      </w:pPr>
      <w:r w:rsidRPr="00814EEB">
        <w:rPr>
          <w:rFonts w:cs="Times New Roman"/>
          <w:sz w:val="20"/>
          <w:szCs w:val="20"/>
        </w:rPr>
        <w:t>h) przewodnika dla osoby mającej trudności w widzeniu;</w:t>
      </w:r>
    </w:p>
    <w:p w:rsidR="006D02DF" w:rsidRPr="00814EEB" w:rsidRDefault="006D02DF" w:rsidP="006D02DF">
      <w:pPr>
        <w:spacing w:line="240" w:lineRule="auto"/>
        <w:ind w:left="567" w:hanging="283"/>
        <w:jc w:val="both"/>
        <w:rPr>
          <w:rFonts w:cs="Times New Roman"/>
          <w:sz w:val="20"/>
          <w:szCs w:val="20"/>
        </w:rPr>
      </w:pPr>
      <w:r w:rsidRPr="00814EEB">
        <w:rPr>
          <w:rFonts w:cs="Times New Roman"/>
          <w:sz w:val="20"/>
          <w:szCs w:val="20"/>
        </w:rPr>
        <w:t>i)</w:t>
      </w:r>
      <w:r w:rsidRPr="00814EEB">
        <w:rPr>
          <w:rFonts w:cs="Times New Roman"/>
          <w:sz w:val="20"/>
          <w:szCs w:val="20"/>
        </w:rPr>
        <w:tab/>
        <w:t xml:space="preserve">alternatywnych form przygotowania materiałów projektowych (szkoleniowych, informacyjnych, np. wersje elektroniczne dokumentów, wersje w druku powiększonym, wersje pisane alfabetem </w:t>
      </w:r>
      <w:proofErr w:type="spellStart"/>
      <w:r w:rsidRPr="00814EEB">
        <w:rPr>
          <w:rFonts w:cs="Times New Roman"/>
          <w:sz w:val="20"/>
          <w:szCs w:val="20"/>
        </w:rPr>
        <w:t>Braille’a</w:t>
      </w:r>
      <w:proofErr w:type="spellEnd"/>
      <w:r w:rsidRPr="00814EEB">
        <w:rPr>
          <w:rFonts w:cs="Times New Roman"/>
          <w:sz w:val="20"/>
          <w:szCs w:val="20"/>
        </w:rPr>
        <w:t>, wersje w języku łatwym, nagranie tłumaczenia na język migowy na nośniku elektronicznym, itp.);</w:t>
      </w:r>
    </w:p>
    <w:p w:rsidR="006D02DF" w:rsidRPr="00814EEB" w:rsidRDefault="006D02DF" w:rsidP="006D02DF">
      <w:pPr>
        <w:spacing w:line="240" w:lineRule="auto"/>
        <w:ind w:left="567" w:hanging="283"/>
        <w:jc w:val="both"/>
        <w:rPr>
          <w:rFonts w:cs="Times New Roman"/>
          <w:sz w:val="20"/>
          <w:szCs w:val="20"/>
        </w:rPr>
      </w:pPr>
      <w:r w:rsidRPr="00814EEB">
        <w:rPr>
          <w:rFonts w:cs="Times New Roman"/>
          <w:sz w:val="20"/>
          <w:szCs w:val="20"/>
        </w:rPr>
        <w:t xml:space="preserve">j) </w:t>
      </w:r>
      <w:r w:rsidRPr="00814EEB">
        <w:rPr>
          <w:rFonts w:cs="Times New Roman"/>
          <w:sz w:val="20"/>
          <w:szCs w:val="20"/>
        </w:rPr>
        <w:tab/>
        <w:t>zmiany procedur;</w:t>
      </w:r>
    </w:p>
    <w:p w:rsidR="006D02DF" w:rsidRPr="00814EEB" w:rsidRDefault="006D02DF" w:rsidP="006D02DF">
      <w:pPr>
        <w:spacing w:line="240" w:lineRule="auto"/>
        <w:ind w:left="567" w:hanging="283"/>
        <w:jc w:val="both"/>
        <w:rPr>
          <w:rFonts w:cs="Times New Roman"/>
          <w:sz w:val="20"/>
          <w:szCs w:val="20"/>
        </w:rPr>
      </w:pPr>
      <w:r w:rsidRPr="00814EEB">
        <w:rPr>
          <w:rFonts w:cs="Times New Roman"/>
          <w:sz w:val="20"/>
          <w:szCs w:val="20"/>
        </w:rPr>
        <w:t>k)</w:t>
      </w:r>
      <w:r w:rsidRPr="00814EEB">
        <w:rPr>
          <w:rFonts w:cs="Times New Roman"/>
          <w:sz w:val="20"/>
          <w:szCs w:val="20"/>
        </w:rPr>
        <w:tab/>
        <w:t>wydłużonego czasu wsparcia (wynikającego np. z konieczności wolniejszego tłumaczenia na język migowy, wolnego mówienia, odczytywania komunikatów z ust, stosowania języka łatwego itp.);</w:t>
      </w:r>
    </w:p>
    <w:p w:rsidR="006D02DF" w:rsidRPr="00814EEB" w:rsidRDefault="006D02DF" w:rsidP="006D02DF">
      <w:pPr>
        <w:spacing w:line="240" w:lineRule="auto"/>
        <w:ind w:left="567" w:hanging="283"/>
        <w:jc w:val="both"/>
        <w:rPr>
          <w:rFonts w:cs="Times New Roman"/>
          <w:sz w:val="20"/>
          <w:szCs w:val="20"/>
        </w:rPr>
      </w:pPr>
      <w:r w:rsidRPr="00814EEB">
        <w:rPr>
          <w:rFonts w:cs="Times New Roman"/>
          <w:sz w:val="20"/>
          <w:szCs w:val="20"/>
        </w:rPr>
        <w:t>l)</w:t>
      </w:r>
      <w:r w:rsidRPr="00814EEB">
        <w:rPr>
          <w:rFonts w:cs="Times New Roman"/>
          <w:sz w:val="20"/>
          <w:szCs w:val="20"/>
        </w:rPr>
        <w:tab/>
        <w:t>dostosowania posiłków, uwzględniania specyficznych potrzeb żywieniowych wynikających                                z niepełnosprawności.</w:t>
      </w:r>
    </w:p>
    <w:p w:rsidR="006D02DF" w:rsidRPr="00814EEB" w:rsidRDefault="006D02DF" w:rsidP="006D02DF">
      <w:pPr>
        <w:spacing w:line="240" w:lineRule="auto"/>
        <w:jc w:val="both"/>
        <w:rPr>
          <w:rFonts w:cs="Times New Roman"/>
          <w:sz w:val="20"/>
          <w:szCs w:val="20"/>
        </w:rPr>
      </w:pPr>
      <w:r w:rsidRPr="00814EEB">
        <w:rPr>
          <w:rFonts w:cs="Times New Roman"/>
          <w:sz w:val="20"/>
          <w:szCs w:val="20"/>
        </w:rPr>
        <w:t xml:space="preserve">Każdy wydatek poniesiony w celu ułatwienia dostępu i uczestnictwa w projekcie osób z </w:t>
      </w:r>
      <w:proofErr w:type="spellStart"/>
      <w:r w:rsidRPr="00814EEB">
        <w:rPr>
          <w:rFonts w:cs="Times New Roman"/>
          <w:sz w:val="20"/>
          <w:szCs w:val="20"/>
        </w:rPr>
        <w:t>niepełnosprawnościami</w:t>
      </w:r>
      <w:proofErr w:type="spellEnd"/>
      <w:r w:rsidRPr="00814EEB">
        <w:rPr>
          <w:rFonts w:cs="Times New Roman"/>
          <w:sz w:val="20"/>
          <w:szCs w:val="20"/>
        </w:rPr>
        <w:t xml:space="preserve"> jest </w:t>
      </w:r>
      <w:proofErr w:type="spellStart"/>
      <w:r w:rsidRPr="00814EEB">
        <w:rPr>
          <w:rFonts w:cs="Times New Roman"/>
          <w:sz w:val="20"/>
          <w:szCs w:val="20"/>
        </w:rPr>
        <w:t>kwalifikowalny</w:t>
      </w:r>
      <w:proofErr w:type="spellEnd"/>
      <w:r w:rsidRPr="00814EEB">
        <w:rPr>
          <w:rFonts w:cs="Times New Roman"/>
          <w:sz w:val="20"/>
          <w:szCs w:val="20"/>
        </w:rPr>
        <w:t xml:space="preserve">, o ile nie stanowi wydatku </w:t>
      </w:r>
      <w:proofErr w:type="spellStart"/>
      <w:r w:rsidRPr="00814EEB">
        <w:rPr>
          <w:rFonts w:cs="Times New Roman"/>
          <w:sz w:val="20"/>
          <w:szCs w:val="20"/>
        </w:rPr>
        <w:t>niekwalifikowalnego</w:t>
      </w:r>
      <w:proofErr w:type="spellEnd"/>
      <w:r w:rsidRPr="00814EEB">
        <w:rPr>
          <w:rFonts w:cs="Times New Roman"/>
          <w:sz w:val="20"/>
          <w:szCs w:val="20"/>
        </w:rPr>
        <w:t xml:space="preserve"> na mocy przepisów unijnych oraz Wytycznych Ministra Infrastruktury i Rozwoju w zakresie </w:t>
      </w:r>
      <w:proofErr w:type="spellStart"/>
      <w:r w:rsidRPr="00814EEB">
        <w:rPr>
          <w:rFonts w:cs="Times New Roman"/>
          <w:sz w:val="20"/>
          <w:szCs w:val="20"/>
        </w:rPr>
        <w:t>kwalifikowalności</w:t>
      </w:r>
      <w:proofErr w:type="spellEnd"/>
      <w:r w:rsidRPr="00814EEB">
        <w:rPr>
          <w:rFonts w:cs="Times New Roman"/>
          <w:sz w:val="20"/>
          <w:szCs w:val="20"/>
        </w:rPr>
        <w:t xml:space="preserve"> wydatków w ramach Europejskiego Funduszu Rozwoju Regionalnego, Europejskiego Funduszu Społecznego oraz Funduszu Spójności na lata 2014-2020.</w:t>
      </w:r>
    </w:p>
    <w:p w:rsidR="006D02DF" w:rsidRPr="00814EEB" w:rsidRDefault="006D02DF" w:rsidP="006D02DF">
      <w:pPr>
        <w:spacing w:line="240" w:lineRule="auto"/>
        <w:jc w:val="both"/>
        <w:rPr>
          <w:rFonts w:cs="Times New Roman"/>
          <w:sz w:val="20"/>
          <w:szCs w:val="20"/>
        </w:rPr>
      </w:pPr>
      <w:r w:rsidRPr="00814EEB">
        <w:rPr>
          <w:rFonts w:cs="Times New Roman"/>
          <w:sz w:val="20"/>
          <w:szCs w:val="20"/>
        </w:rPr>
        <w:t>Łączny koszt racjonalnych usprawnień na jednego uczestnika w projekcie nie może przekroczyć 12 tys. PLN.</w:t>
      </w:r>
    </w:p>
    <w:p w:rsidR="006D02DF" w:rsidRPr="00814EEB" w:rsidRDefault="006D02DF" w:rsidP="006D02DF">
      <w:pPr>
        <w:spacing w:line="240" w:lineRule="auto"/>
        <w:jc w:val="both"/>
        <w:rPr>
          <w:rFonts w:cs="Times New Roman"/>
          <w:sz w:val="20"/>
          <w:szCs w:val="20"/>
        </w:rPr>
      </w:pPr>
      <w:r w:rsidRPr="00814EEB">
        <w:rPr>
          <w:rFonts w:cs="Times New Roman"/>
          <w:sz w:val="20"/>
          <w:szCs w:val="20"/>
        </w:rPr>
        <w:lastRenderedPageBreak/>
        <w:t xml:space="preserve">Wydatki na wdrożenie mechanizmu racjonalnych usprawnień nie wlicza się do kosztu wsparcia na jednego uczestnika projektu. </w:t>
      </w:r>
    </w:p>
    <w:p w:rsidR="006D02DF" w:rsidRPr="00D663D6" w:rsidRDefault="006D02DF" w:rsidP="00D663D6">
      <w:pPr>
        <w:spacing w:line="240" w:lineRule="auto"/>
        <w:jc w:val="both"/>
        <w:rPr>
          <w:sz w:val="20"/>
          <w:szCs w:val="20"/>
        </w:rPr>
      </w:pPr>
      <w:r w:rsidRPr="00814EEB">
        <w:rPr>
          <w:sz w:val="20"/>
          <w:szCs w:val="20"/>
        </w:rPr>
        <w:t>Beneficjent powinien uzasadnić konieczność poniesienia kosztu racjonalnego usprawnienia z zastosowaniem najbardziej efektywnego dla danego przypadku sposobu (np. prymat wynajmu nad zakupem).</w:t>
      </w:r>
      <w:bookmarkStart w:id="5" w:name="_GoBack"/>
      <w:bookmarkEnd w:id="5"/>
    </w:p>
    <w:sectPr w:rsidR="006D02DF" w:rsidRPr="00D663D6" w:rsidSect="00BF74B4">
      <w:footerReference w:type="default" r:id="rId8"/>
      <w:pgSz w:w="11906" w:h="16838"/>
      <w:pgMar w:top="568" w:right="1417" w:bottom="851"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6B9F" w:rsidRDefault="00076B9F" w:rsidP="00F55570">
      <w:pPr>
        <w:spacing w:after="0" w:line="240" w:lineRule="auto"/>
      </w:pPr>
      <w:r>
        <w:separator/>
      </w:r>
    </w:p>
  </w:endnote>
  <w:endnote w:type="continuationSeparator" w:id="0">
    <w:p w:rsidR="00076B9F" w:rsidRDefault="00076B9F" w:rsidP="00F555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A00002EF" w:usb1="4000204B" w:usb2="00000000" w:usb3="00000000" w:csb0="0000009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7571582"/>
      <w:docPartObj>
        <w:docPartGallery w:val="Page Numbers (Bottom of Page)"/>
        <w:docPartUnique/>
      </w:docPartObj>
    </w:sdtPr>
    <w:sdtContent>
      <w:p w:rsidR="00AD0BDB" w:rsidRDefault="00E963FE">
        <w:pPr>
          <w:pStyle w:val="Stopka"/>
          <w:jc w:val="right"/>
        </w:pPr>
        <w:r>
          <w:fldChar w:fldCharType="begin"/>
        </w:r>
        <w:r w:rsidR="0048563F">
          <w:instrText>PAGE   \* MERGEFORMAT</w:instrText>
        </w:r>
        <w:r>
          <w:fldChar w:fldCharType="separate"/>
        </w:r>
        <w:r w:rsidR="00DF44ED">
          <w:rPr>
            <w:noProof/>
          </w:rPr>
          <w:t>10</w:t>
        </w:r>
        <w:r>
          <w:rPr>
            <w:noProof/>
          </w:rPr>
          <w:fldChar w:fldCharType="end"/>
        </w:r>
      </w:p>
    </w:sdtContent>
  </w:sdt>
  <w:p w:rsidR="00AD0BDB" w:rsidRDefault="00AD0BD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6B9F" w:rsidRDefault="00076B9F" w:rsidP="00F55570">
      <w:pPr>
        <w:spacing w:after="0" w:line="240" w:lineRule="auto"/>
      </w:pPr>
      <w:r>
        <w:separator/>
      </w:r>
    </w:p>
  </w:footnote>
  <w:footnote w:type="continuationSeparator" w:id="0">
    <w:p w:rsidR="00076B9F" w:rsidRDefault="00076B9F" w:rsidP="00F55570">
      <w:pPr>
        <w:spacing w:after="0" w:line="240" w:lineRule="auto"/>
      </w:pPr>
      <w:r>
        <w:continuationSeparator/>
      </w:r>
    </w:p>
  </w:footnote>
  <w:footnote w:id="1">
    <w:p w:rsidR="00AD0BDB" w:rsidRPr="003F366A" w:rsidRDefault="00AD0BDB" w:rsidP="00306CF7">
      <w:pPr>
        <w:pStyle w:val="Tekstprzypisudolnego"/>
      </w:pPr>
      <w:r w:rsidRPr="002B1F53">
        <w:rPr>
          <w:rStyle w:val="Odwoanieprzypisudolnego"/>
        </w:rPr>
        <w:footnoteRef/>
      </w:r>
      <w:r w:rsidRPr="002B1F53">
        <w:t xml:space="preserve"> </w:t>
      </w:r>
      <w:r w:rsidRPr="002B1F53">
        <w:rPr>
          <w:sz w:val="16"/>
          <w:szCs w:val="16"/>
        </w:rPr>
        <w:t>Zgodnie z zapisami Karty EURES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984F1B"/>
    <w:multiLevelType w:val="hybridMultilevel"/>
    <w:tmpl w:val="CD1AFE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1CF5A65"/>
    <w:multiLevelType w:val="hybridMultilevel"/>
    <w:tmpl w:val="F170E0A0"/>
    <w:lvl w:ilvl="0" w:tplc="E78A3DBE">
      <w:start w:val="1"/>
      <w:numFmt w:val="bullet"/>
      <w:lvlText w:val=""/>
      <w:lvlJc w:val="left"/>
      <w:pPr>
        <w:ind w:left="720" w:hanging="360"/>
      </w:pPr>
      <w:rPr>
        <w:rFonts w:ascii="Symbol" w:hAnsi="Symbo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29803A2"/>
    <w:multiLevelType w:val="hybridMultilevel"/>
    <w:tmpl w:val="078CDC60"/>
    <w:lvl w:ilvl="0" w:tplc="F928FD9C">
      <w:start w:val="1"/>
      <w:numFmt w:val="lowerLetter"/>
      <w:lvlText w:val="%1)"/>
      <w:lvlJc w:val="left"/>
      <w:pPr>
        <w:ind w:left="1080" w:hanging="360"/>
      </w:pPr>
      <w:rPr>
        <w:rFonts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nsid w:val="12C00DAD"/>
    <w:multiLevelType w:val="hybridMultilevel"/>
    <w:tmpl w:val="B688FF08"/>
    <w:lvl w:ilvl="0" w:tplc="30A216CE">
      <w:start w:val="1"/>
      <w:numFmt w:val="decimal"/>
      <w:lvlText w:val="%1."/>
      <w:lvlJc w:val="left"/>
      <w:pPr>
        <w:ind w:left="1056" w:hanging="360"/>
      </w:pPr>
    </w:lvl>
    <w:lvl w:ilvl="1" w:tplc="04150019">
      <w:start w:val="1"/>
      <w:numFmt w:val="lowerLetter"/>
      <w:lvlText w:val="%2."/>
      <w:lvlJc w:val="left"/>
      <w:pPr>
        <w:ind w:left="1776" w:hanging="360"/>
      </w:pPr>
    </w:lvl>
    <w:lvl w:ilvl="2" w:tplc="3ADC5F76">
      <w:start w:val="1"/>
      <w:numFmt w:val="bullet"/>
      <w:lvlText w:val="∙"/>
      <w:lvlJc w:val="left"/>
      <w:pPr>
        <w:ind w:left="2496" w:hanging="180"/>
      </w:pPr>
      <w:rPr>
        <w:rFonts w:ascii="Calibri" w:hAnsi="Calibri" w:hint="default"/>
      </w:rPr>
    </w:lvl>
    <w:lvl w:ilvl="3" w:tplc="0415000F" w:tentative="1">
      <w:start w:val="1"/>
      <w:numFmt w:val="decimal"/>
      <w:lvlText w:val="%4."/>
      <w:lvlJc w:val="left"/>
      <w:pPr>
        <w:ind w:left="3216" w:hanging="360"/>
      </w:p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4">
    <w:nsid w:val="1C9D6A31"/>
    <w:multiLevelType w:val="hybridMultilevel"/>
    <w:tmpl w:val="FB687D56"/>
    <w:lvl w:ilvl="0" w:tplc="D2FCCF80">
      <w:start w:val="2"/>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1416443"/>
    <w:multiLevelType w:val="hybridMultilevel"/>
    <w:tmpl w:val="F1EEC2D0"/>
    <w:lvl w:ilvl="0" w:tplc="411AF4C2">
      <w:start w:val="1"/>
      <w:numFmt w:val="lowerLetter"/>
      <w:lvlText w:val="%1)"/>
      <w:lvlJc w:val="left"/>
      <w:pPr>
        <w:ind w:left="720" w:hanging="360"/>
      </w:pPr>
      <w:rPr>
        <w:rFonts w:hint="default"/>
        <w:b/>
      </w:rPr>
    </w:lvl>
    <w:lvl w:ilvl="1" w:tplc="3962F64A">
      <w:start w:val="1"/>
      <w:numFmt w:val="decimal"/>
      <w:lvlText w:val="%2)"/>
      <w:lvlJc w:val="left"/>
      <w:pPr>
        <w:ind w:left="1440" w:hanging="360"/>
      </w:pPr>
      <w:rPr>
        <w:rFonts w:hint="default"/>
        <w:b/>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6361A10"/>
    <w:multiLevelType w:val="hybridMultilevel"/>
    <w:tmpl w:val="0E96132A"/>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B8B26B4"/>
    <w:multiLevelType w:val="hybridMultilevel"/>
    <w:tmpl w:val="42AABE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BE17FCC"/>
    <w:multiLevelType w:val="hybridMultilevel"/>
    <w:tmpl w:val="39B078E4"/>
    <w:lvl w:ilvl="0" w:tplc="2612D1F0">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5DF721D"/>
    <w:multiLevelType w:val="hybridMultilevel"/>
    <w:tmpl w:val="B82E52E8"/>
    <w:lvl w:ilvl="0" w:tplc="04150017">
      <w:start w:val="1"/>
      <w:numFmt w:val="lowerLetter"/>
      <w:lvlText w:val="%1)"/>
      <w:lvlJc w:val="left"/>
      <w:pPr>
        <w:ind w:left="720" w:hanging="360"/>
      </w:pPr>
      <w:rPr>
        <w:rFonts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39B04C0F"/>
    <w:multiLevelType w:val="hybridMultilevel"/>
    <w:tmpl w:val="2BDE3266"/>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B904278"/>
    <w:multiLevelType w:val="hybridMultilevel"/>
    <w:tmpl w:val="1FBA68B4"/>
    <w:lvl w:ilvl="0" w:tplc="04150017">
      <w:start w:val="1"/>
      <w:numFmt w:val="lowerLetter"/>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nsid w:val="400D03A1"/>
    <w:multiLevelType w:val="hybridMultilevel"/>
    <w:tmpl w:val="FDF67EB4"/>
    <w:lvl w:ilvl="0" w:tplc="D3EA4676">
      <w:start w:val="1"/>
      <w:numFmt w:val="bullet"/>
      <w:lvlText w:val=""/>
      <w:lvlJc w:val="left"/>
      <w:pPr>
        <w:ind w:left="720" w:hanging="360"/>
      </w:pPr>
      <w:rPr>
        <w:rFonts w:ascii="Symbol" w:hAnsi="Symbol" w:hint="default"/>
      </w:rPr>
    </w:lvl>
    <w:lvl w:ilvl="1" w:tplc="2F4A8DBA">
      <w:start w:val="1"/>
      <w:numFmt w:val="lowerLetter"/>
      <w:lvlText w:val="%2)"/>
      <w:lvlJc w:val="left"/>
      <w:pPr>
        <w:ind w:left="1440" w:hanging="360"/>
      </w:pPr>
      <w:rPr>
        <w:rFonts w:hint="default"/>
        <w:b/>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4097166A"/>
    <w:multiLevelType w:val="hybridMultilevel"/>
    <w:tmpl w:val="9AF2CA84"/>
    <w:lvl w:ilvl="0" w:tplc="04150017">
      <w:start w:val="1"/>
      <w:numFmt w:val="lowerLetter"/>
      <w:lvlText w:val="%1)"/>
      <w:lvlJc w:val="left"/>
      <w:pPr>
        <w:ind w:left="1428" w:hanging="360"/>
      </w:pPr>
    </w:lvl>
    <w:lvl w:ilvl="1" w:tplc="DF8212CA">
      <w:start w:val="1"/>
      <w:numFmt w:val="lowerLetter"/>
      <w:lvlText w:val="%2)"/>
      <w:lvlJc w:val="left"/>
      <w:pPr>
        <w:ind w:left="2148" w:hanging="360"/>
      </w:pPr>
      <w:rPr>
        <w:b/>
      </w:r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nsid w:val="45255F17"/>
    <w:multiLevelType w:val="hybridMultilevel"/>
    <w:tmpl w:val="6256DE7E"/>
    <w:lvl w:ilvl="0" w:tplc="27ECDE1C">
      <w:start w:val="8"/>
      <w:numFmt w:val="bullet"/>
      <w:lvlText w:val=""/>
      <w:lvlJc w:val="left"/>
      <w:pPr>
        <w:ind w:left="720" w:hanging="360"/>
      </w:pPr>
      <w:rPr>
        <w:rFonts w:ascii="Symbol" w:eastAsiaTheme="minorEastAsia"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46573360"/>
    <w:multiLevelType w:val="hybridMultilevel"/>
    <w:tmpl w:val="E2185EE4"/>
    <w:lvl w:ilvl="0" w:tplc="C778D132">
      <w:numFmt w:val="bullet"/>
      <w:lvlText w:val=""/>
      <w:lvlJc w:val="left"/>
      <w:pPr>
        <w:ind w:left="390" w:hanging="360"/>
      </w:pPr>
      <w:rPr>
        <w:rFonts w:ascii="Symbol" w:eastAsiaTheme="minorEastAsia" w:hAnsi="Symbol" w:cstheme="minorBidi" w:hint="default"/>
      </w:rPr>
    </w:lvl>
    <w:lvl w:ilvl="1" w:tplc="04150003" w:tentative="1">
      <w:start w:val="1"/>
      <w:numFmt w:val="bullet"/>
      <w:lvlText w:val="o"/>
      <w:lvlJc w:val="left"/>
      <w:pPr>
        <w:ind w:left="1110" w:hanging="360"/>
      </w:pPr>
      <w:rPr>
        <w:rFonts w:ascii="Courier New" w:hAnsi="Courier New" w:cs="Courier New" w:hint="default"/>
      </w:rPr>
    </w:lvl>
    <w:lvl w:ilvl="2" w:tplc="04150005" w:tentative="1">
      <w:start w:val="1"/>
      <w:numFmt w:val="bullet"/>
      <w:lvlText w:val=""/>
      <w:lvlJc w:val="left"/>
      <w:pPr>
        <w:ind w:left="1830" w:hanging="360"/>
      </w:pPr>
      <w:rPr>
        <w:rFonts w:ascii="Wingdings" w:hAnsi="Wingdings" w:hint="default"/>
      </w:rPr>
    </w:lvl>
    <w:lvl w:ilvl="3" w:tplc="04150001" w:tentative="1">
      <w:start w:val="1"/>
      <w:numFmt w:val="bullet"/>
      <w:lvlText w:val=""/>
      <w:lvlJc w:val="left"/>
      <w:pPr>
        <w:ind w:left="2550" w:hanging="360"/>
      </w:pPr>
      <w:rPr>
        <w:rFonts w:ascii="Symbol" w:hAnsi="Symbol" w:hint="default"/>
      </w:rPr>
    </w:lvl>
    <w:lvl w:ilvl="4" w:tplc="04150003" w:tentative="1">
      <w:start w:val="1"/>
      <w:numFmt w:val="bullet"/>
      <w:lvlText w:val="o"/>
      <w:lvlJc w:val="left"/>
      <w:pPr>
        <w:ind w:left="3270" w:hanging="360"/>
      </w:pPr>
      <w:rPr>
        <w:rFonts w:ascii="Courier New" w:hAnsi="Courier New" w:cs="Courier New" w:hint="default"/>
      </w:rPr>
    </w:lvl>
    <w:lvl w:ilvl="5" w:tplc="04150005" w:tentative="1">
      <w:start w:val="1"/>
      <w:numFmt w:val="bullet"/>
      <w:lvlText w:val=""/>
      <w:lvlJc w:val="left"/>
      <w:pPr>
        <w:ind w:left="3990" w:hanging="360"/>
      </w:pPr>
      <w:rPr>
        <w:rFonts w:ascii="Wingdings" w:hAnsi="Wingdings" w:hint="default"/>
      </w:rPr>
    </w:lvl>
    <w:lvl w:ilvl="6" w:tplc="04150001" w:tentative="1">
      <w:start w:val="1"/>
      <w:numFmt w:val="bullet"/>
      <w:lvlText w:val=""/>
      <w:lvlJc w:val="left"/>
      <w:pPr>
        <w:ind w:left="4710" w:hanging="360"/>
      </w:pPr>
      <w:rPr>
        <w:rFonts w:ascii="Symbol" w:hAnsi="Symbol" w:hint="default"/>
      </w:rPr>
    </w:lvl>
    <w:lvl w:ilvl="7" w:tplc="04150003" w:tentative="1">
      <w:start w:val="1"/>
      <w:numFmt w:val="bullet"/>
      <w:lvlText w:val="o"/>
      <w:lvlJc w:val="left"/>
      <w:pPr>
        <w:ind w:left="5430" w:hanging="360"/>
      </w:pPr>
      <w:rPr>
        <w:rFonts w:ascii="Courier New" w:hAnsi="Courier New" w:cs="Courier New" w:hint="default"/>
      </w:rPr>
    </w:lvl>
    <w:lvl w:ilvl="8" w:tplc="04150005" w:tentative="1">
      <w:start w:val="1"/>
      <w:numFmt w:val="bullet"/>
      <w:lvlText w:val=""/>
      <w:lvlJc w:val="left"/>
      <w:pPr>
        <w:ind w:left="6150" w:hanging="360"/>
      </w:pPr>
      <w:rPr>
        <w:rFonts w:ascii="Wingdings" w:hAnsi="Wingdings" w:hint="default"/>
      </w:rPr>
    </w:lvl>
  </w:abstractNum>
  <w:abstractNum w:abstractNumId="16">
    <w:nsid w:val="4E696994"/>
    <w:multiLevelType w:val="hybridMultilevel"/>
    <w:tmpl w:val="CB14560A"/>
    <w:lvl w:ilvl="0" w:tplc="3ADC5F76">
      <w:start w:val="1"/>
      <w:numFmt w:val="bullet"/>
      <w:lvlText w:val="∙"/>
      <w:lvlJc w:val="left"/>
      <w:pPr>
        <w:ind w:left="1797" w:hanging="360"/>
      </w:pPr>
      <w:rPr>
        <w:rFonts w:ascii="Calibri" w:hAnsi="Calibri"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17">
    <w:nsid w:val="4EB963DD"/>
    <w:multiLevelType w:val="hybridMultilevel"/>
    <w:tmpl w:val="9F76FA3C"/>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578B395A"/>
    <w:multiLevelType w:val="hybridMultilevel"/>
    <w:tmpl w:val="73668A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B742EB2"/>
    <w:multiLevelType w:val="hybridMultilevel"/>
    <w:tmpl w:val="6A129140"/>
    <w:lvl w:ilvl="0" w:tplc="58D8EB46">
      <w:start w:val="2"/>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647E118F"/>
    <w:multiLevelType w:val="hybridMultilevel"/>
    <w:tmpl w:val="3E5829C0"/>
    <w:lvl w:ilvl="0" w:tplc="2CFABF5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6E11287"/>
    <w:multiLevelType w:val="hybridMultilevel"/>
    <w:tmpl w:val="162ACA4E"/>
    <w:lvl w:ilvl="0" w:tplc="F25EBEC4">
      <w:start w:val="1"/>
      <w:numFmt w:val="decimal"/>
      <w:lvlText w:val="%1."/>
      <w:lvlJc w:val="left"/>
      <w:pPr>
        <w:ind w:left="720" w:hanging="360"/>
      </w:pPr>
      <w:rPr>
        <w:rFonts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9953FC3"/>
    <w:multiLevelType w:val="hybridMultilevel"/>
    <w:tmpl w:val="936E5696"/>
    <w:lvl w:ilvl="0" w:tplc="13367E38">
      <w:start w:val="1"/>
      <w:numFmt w:val="decimal"/>
      <w:lvlText w:val="%1."/>
      <w:lvlJc w:val="left"/>
      <w:pPr>
        <w:ind w:left="360" w:hanging="360"/>
      </w:pPr>
      <w:rPr>
        <w:rFonts w:ascii="Arial" w:hAnsi="Arial" w:hint="default"/>
        <w:b/>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6CC46476"/>
    <w:multiLevelType w:val="hybridMultilevel"/>
    <w:tmpl w:val="F20677A2"/>
    <w:lvl w:ilvl="0" w:tplc="0415000F">
      <w:start w:val="1"/>
      <w:numFmt w:val="decimal"/>
      <w:lvlText w:val="%1."/>
      <w:lvlJc w:val="left"/>
      <w:pPr>
        <w:ind w:left="720" w:hanging="360"/>
      </w:pPr>
      <w:rPr>
        <w:rFonts w:cs="Times New Roman" w:hint="default"/>
      </w:rPr>
    </w:lvl>
    <w:lvl w:ilvl="1" w:tplc="F8B0395C">
      <w:start w:val="1"/>
      <w:numFmt w:val="lowerLetter"/>
      <w:lvlText w:val="%2)"/>
      <w:lvlJc w:val="left"/>
      <w:pPr>
        <w:ind w:left="1440" w:hanging="360"/>
      </w:pPr>
      <w:rPr>
        <w:rFonts w:hint="default"/>
        <w:b/>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nsid w:val="6ED111DA"/>
    <w:multiLevelType w:val="hybridMultilevel"/>
    <w:tmpl w:val="D2BC22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0AE1237"/>
    <w:multiLevelType w:val="hybridMultilevel"/>
    <w:tmpl w:val="720A6F60"/>
    <w:lvl w:ilvl="0" w:tplc="AF480D96">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77B47843"/>
    <w:multiLevelType w:val="hybridMultilevel"/>
    <w:tmpl w:val="76AACB2C"/>
    <w:lvl w:ilvl="0" w:tplc="04150001">
      <w:start w:val="1"/>
      <w:numFmt w:val="bullet"/>
      <w:lvlText w:val=""/>
      <w:lvlJc w:val="left"/>
      <w:pPr>
        <w:ind w:left="720" w:hanging="360"/>
      </w:pPr>
      <w:rPr>
        <w:rFonts w:ascii="Symbol" w:hAnsi="Symbol" w:hint="default"/>
      </w:rPr>
    </w:lvl>
    <w:lvl w:ilvl="1" w:tplc="3ADC5F76">
      <w:start w:val="1"/>
      <w:numFmt w:val="bullet"/>
      <w:lvlText w:val="∙"/>
      <w:lvlJc w:val="left"/>
      <w:pPr>
        <w:ind w:left="1440" w:hanging="360"/>
      </w:pPr>
      <w:rPr>
        <w:rFonts w:ascii="Calibri" w:hAnsi="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78906D59"/>
    <w:multiLevelType w:val="hybridMultilevel"/>
    <w:tmpl w:val="8C96D696"/>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7A241A59"/>
    <w:multiLevelType w:val="hybridMultilevel"/>
    <w:tmpl w:val="E43EC89E"/>
    <w:lvl w:ilvl="0" w:tplc="04150017">
      <w:start w:val="1"/>
      <w:numFmt w:val="lowerLetter"/>
      <w:lvlText w:val="%1)"/>
      <w:lvlJc w:val="left"/>
      <w:pPr>
        <w:ind w:left="1432" w:hanging="360"/>
      </w:pPr>
    </w:lvl>
    <w:lvl w:ilvl="1" w:tplc="C7BAC2E6">
      <w:start w:val="1"/>
      <w:numFmt w:val="lowerLetter"/>
      <w:lvlText w:val="%2)"/>
      <w:lvlJc w:val="left"/>
      <w:pPr>
        <w:ind w:left="2152" w:hanging="360"/>
      </w:pPr>
      <w:rPr>
        <w:b/>
      </w:r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29">
    <w:nsid w:val="7B9F438C"/>
    <w:multiLevelType w:val="hybridMultilevel"/>
    <w:tmpl w:val="17FC791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7F9722BA"/>
    <w:multiLevelType w:val="hybridMultilevel"/>
    <w:tmpl w:val="4080E954"/>
    <w:lvl w:ilvl="0" w:tplc="C100C5E2">
      <w:start w:val="1"/>
      <w:numFmt w:val="lowerLetter"/>
      <w:pStyle w:val="Nagwek3"/>
      <w:lvlText w:val="%1."/>
      <w:lvlJc w:val="left"/>
      <w:pPr>
        <w:ind w:left="360" w:hanging="360"/>
      </w:pPr>
      <w:rPr>
        <w:rFonts w:asciiTheme="minorHAnsi" w:hAnsiTheme="minorHAnsi" w:hint="default"/>
      </w:rPr>
    </w:lvl>
    <w:lvl w:ilvl="1" w:tplc="5A82A79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18"/>
  </w:num>
  <w:num w:numId="3">
    <w:abstractNumId w:val="24"/>
  </w:num>
  <w:num w:numId="4">
    <w:abstractNumId w:val="25"/>
  </w:num>
  <w:num w:numId="5">
    <w:abstractNumId w:val="4"/>
  </w:num>
  <w:num w:numId="6">
    <w:abstractNumId w:val="19"/>
  </w:num>
  <w:num w:numId="7">
    <w:abstractNumId w:val="21"/>
  </w:num>
  <w:num w:numId="8">
    <w:abstractNumId w:val="20"/>
  </w:num>
  <w:num w:numId="9">
    <w:abstractNumId w:val="3"/>
  </w:num>
  <w:num w:numId="10">
    <w:abstractNumId w:val="16"/>
  </w:num>
  <w:num w:numId="11">
    <w:abstractNumId w:val="26"/>
  </w:num>
  <w:num w:numId="12">
    <w:abstractNumId w:val="14"/>
  </w:num>
  <w:num w:numId="13">
    <w:abstractNumId w:val="15"/>
  </w:num>
  <w:num w:numId="14">
    <w:abstractNumId w:val="30"/>
  </w:num>
  <w:num w:numId="15">
    <w:abstractNumId w:val="30"/>
    <w:lvlOverride w:ilvl="0">
      <w:startOverride w:val="1"/>
    </w:lvlOverride>
  </w:num>
  <w:num w:numId="16">
    <w:abstractNumId w:val="0"/>
  </w:num>
  <w:num w:numId="17">
    <w:abstractNumId w:val="23"/>
  </w:num>
  <w:num w:numId="18">
    <w:abstractNumId w:val="22"/>
  </w:num>
  <w:num w:numId="19">
    <w:abstractNumId w:val="1"/>
  </w:num>
  <w:num w:numId="20">
    <w:abstractNumId w:val="10"/>
  </w:num>
  <w:num w:numId="21">
    <w:abstractNumId w:val="17"/>
  </w:num>
  <w:num w:numId="22">
    <w:abstractNumId w:val="29"/>
  </w:num>
  <w:num w:numId="23">
    <w:abstractNumId w:val="6"/>
  </w:num>
  <w:num w:numId="24">
    <w:abstractNumId w:val="9"/>
  </w:num>
  <w:num w:numId="25">
    <w:abstractNumId w:val="5"/>
  </w:num>
  <w:num w:numId="26">
    <w:abstractNumId w:val="12"/>
  </w:num>
  <w:num w:numId="27">
    <w:abstractNumId w:val="27"/>
  </w:num>
  <w:num w:numId="28">
    <w:abstractNumId w:val="8"/>
  </w:num>
  <w:num w:numId="29">
    <w:abstractNumId w:val="11"/>
  </w:num>
  <w:num w:numId="30">
    <w:abstractNumId w:val="2"/>
  </w:num>
  <w:num w:numId="31">
    <w:abstractNumId w:val="13"/>
  </w:num>
  <w:num w:numId="32">
    <w:abstractNumId w:val="28"/>
  </w:num>
  <w:num w:numId="33">
    <w:abstractNumId w:val="30"/>
    <w:lvlOverride w:ilvl="0">
      <w:startOverride w:val="1"/>
    </w:lvlOverride>
  </w:num>
  <w:num w:numId="34">
    <w:abstractNumId w:val="30"/>
    <w:lvlOverride w:ilvl="0">
      <w:startOverride w:val="1"/>
    </w:lvlOverride>
  </w:num>
  <w:num w:numId="35">
    <w:abstractNumId w:val="3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useFELayout/>
  </w:compat>
  <w:rsids>
    <w:rsidRoot w:val="004F5354"/>
    <w:rsid w:val="00012095"/>
    <w:rsid w:val="00015BBA"/>
    <w:rsid w:val="000240E9"/>
    <w:rsid w:val="0002561F"/>
    <w:rsid w:val="000323A8"/>
    <w:rsid w:val="00037541"/>
    <w:rsid w:val="00041208"/>
    <w:rsid w:val="00043F7B"/>
    <w:rsid w:val="00045BBA"/>
    <w:rsid w:val="00050514"/>
    <w:rsid w:val="00053B33"/>
    <w:rsid w:val="000667E8"/>
    <w:rsid w:val="00071D16"/>
    <w:rsid w:val="0007306B"/>
    <w:rsid w:val="00075607"/>
    <w:rsid w:val="000760CE"/>
    <w:rsid w:val="00076B9F"/>
    <w:rsid w:val="000779EC"/>
    <w:rsid w:val="00081733"/>
    <w:rsid w:val="00083A64"/>
    <w:rsid w:val="000912FD"/>
    <w:rsid w:val="00092CC4"/>
    <w:rsid w:val="00093BC8"/>
    <w:rsid w:val="000946C7"/>
    <w:rsid w:val="000967F7"/>
    <w:rsid w:val="000A3994"/>
    <w:rsid w:val="000A5C7A"/>
    <w:rsid w:val="000A7B59"/>
    <w:rsid w:val="000A7C30"/>
    <w:rsid w:val="000B3668"/>
    <w:rsid w:val="000C0F33"/>
    <w:rsid w:val="000C586B"/>
    <w:rsid w:val="000C5D4B"/>
    <w:rsid w:val="000C6070"/>
    <w:rsid w:val="000D4787"/>
    <w:rsid w:val="000E03D6"/>
    <w:rsid w:val="000E0C4C"/>
    <w:rsid w:val="000E1AFE"/>
    <w:rsid w:val="000E3B10"/>
    <w:rsid w:val="000E4A4F"/>
    <w:rsid w:val="000F03B2"/>
    <w:rsid w:val="000F3355"/>
    <w:rsid w:val="000F3830"/>
    <w:rsid w:val="00101CA4"/>
    <w:rsid w:val="001020FB"/>
    <w:rsid w:val="001128F1"/>
    <w:rsid w:val="00114C3D"/>
    <w:rsid w:val="001260AC"/>
    <w:rsid w:val="00135FD2"/>
    <w:rsid w:val="00144352"/>
    <w:rsid w:val="001444D0"/>
    <w:rsid w:val="00150263"/>
    <w:rsid w:val="00151EED"/>
    <w:rsid w:val="00154B8B"/>
    <w:rsid w:val="00160218"/>
    <w:rsid w:val="0016117A"/>
    <w:rsid w:val="00162810"/>
    <w:rsid w:val="001630C4"/>
    <w:rsid w:val="001717FF"/>
    <w:rsid w:val="0017425B"/>
    <w:rsid w:val="00194D40"/>
    <w:rsid w:val="00195B43"/>
    <w:rsid w:val="001A23BA"/>
    <w:rsid w:val="001A2BF2"/>
    <w:rsid w:val="001A3E1F"/>
    <w:rsid w:val="001A41D7"/>
    <w:rsid w:val="001A502B"/>
    <w:rsid w:val="001A69D5"/>
    <w:rsid w:val="001B23BD"/>
    <w:rsid w:val="001B401A"/>
    <w:rsid w:val="001B4CEA"/>
    <w:rsid w:val="001C0A40"/>
    <w:rsid w:val="001C11FF"/>
    <w:rsid w:val="001C256A"/>
    <w:rsid w:val="001C3B08"/>
    <w:rsid w:val="001C484A"/>
    <w:rsid w:val="001C53BC"/>
    <w:rsid w:val="001C5F71"/>
    <w:rsid w:val="001D02C0"/>
    <w:rsid w:val="001D3655"/>
    <w:rsid w:val="001E1529"/>
    <w:rsid w:val="001E22EA"/>
    <w:rsid w:val="001E581E"/>
    <w:rsid w:val="001F6CEC"/>
    <w:rsid w:val="002001A5"/>
    <w:rsid w:val="00200310"/>
    <w:rsid w:val="002018BC"/>
    <w:rsid w:val="00203A82"/>
    <w:rsid w:val="00204AD7"/>
    <w:rsid w:val="00207F0D"/>
    <w:rsid w:val="00211FDE"/>
    <w:rsid w:val="00212800"/>
    <w:rsid w:val="00230620"/>
    <w:rsid w:val="002324A4"/>
    <w:rsid w:val="002331B3"/>
    <w:rsid w:val="00234C45"/>
    <w:rsid w:val="002358F6"/>
    <w:rsid w:val="002411D2"/>
    <w:rsid w:val="00241EF9"/>
    <w:rsid w:val="0024333D"/>
    <w:rsid w:val="002452CC"/>
    <w:rsid w:val="002456ED"/>
    <w:rsid w:val="002470FB"/>
    <w:rsid w:val="00250F8A"/>
    <w:rsid w:val="00254FA3"/>
    <w:rsid w:val="00260AA9"/>
    <w:rsid w:val="00266490"/>
    <w:rsid w:val="0026768D"/>
    <w:rsid w:val="002728B9"/>
    <w:rsid w:val="00276913"/>
    <w:rsid w:val="0028196D"/>
    <w:rsid w:val="002819E6"/>
    <w:rsid w:val="00284692"/>
    <w:rsid w:val="00284C6B"/>
    <w:rsid w:val="002873A3"/>
    <w:rsid w:val="002953CB"/>
    <w:rsid w:val="00296404"/>
    <w:rsid w:val="002A1466"/>
    <w:rsid w:val="002A3A73"/>
    <w:rsid w:val="002A4A90"/>
    <w:rsid w:val="002B0BF8"/>
    <w:rsid w:val="002B1474"/>
    <w:rsid w:val="002B2A41"/>
    <w:rsid w:val="002C579B"/>
    <w:rsid w:val="002D04C2"/>
    <w:rsid w:val="002D05CC"/>
    <w:rsid w:val="002D0A1D"/>
    <w:rsid w:val="002D0C62"/>
    <w:rsid w:val="002D25BD"/>
    <w:rsid w:val="002D4217"/>
    <w:rsid w:val="002D7D00"/>
    <w:rsid w:val="002E0E0A"/>
    <w:rsid w:val="002E1D40"/>
    <w:rsid w:val="002E34F1"/>
    <w:rsid w:val="002E6D73"/>
    <w:rsid w:val="002F127A"/>
    <w:rsid w:val="002F1D13"/>
    <w:rsid w:val="002F25F9"/>
    <w:rsid w:val="002F67ED"/>
    <w:rsid w:val="002F70A0"/>
    <w:rsid w:val="00306CF7"/>
    <w:rsid w:val="00313B57"/>
    <w:rsid w:val="00314996"/>
    <w:rsid w:val="003152EA"/>
    <w:rsid w:val="003205C9"/>
    <w:rsid w:val="00321306"/>
    <w:rsid w:val="00327049"/>
    <w:rsid w:val="003308A1"/>
    <w:rsid w:val="00333CF3"/>
    <w:rsid w:val="00334807"/>
    <w:rsid w:val="00334879"/>
    <w:rsid w:val="00334B6D"/>
    <w:rsid w:val="003432A8"/>
    <w:rsid w:val="00352D7C"/>
    <w:rsid w:val="00354641"/>
    <w:rsid w:val="00363183"/>
    <w:rsid w:val="003658A8"/>
    <w:rsid w:val="00365FB2"/>
    <w:rsid w:val="0037004E"/>
    <w:rsid w:val="0037029B"/>
    <w:rsid w:val="00373A17"/>
    <w:rsid w:val="00375604"/>
    <w:rsid w:val="00380B15"/>
    <w:rsid w:val="00383374"/>
    <w:rsid w:val="003973CE"/>
    <w:rsid w:val="003A0C18"/>
    <w:rsid w:val="003B0392"/>
    <w:rsid w:val="003B0513"/>
    <w:rsid w:val="003B0EF5"/>
    <w:rsid w:val="003B12E2"/>
    <w:rsid w:val="003B41FC"/>
    <w:rsid w:val="003C1084"/>
    <w:rsid w:val="003C12AC"/>
    <w:rsid w:val="003C3951"/>
    <w:rsid w:val="003C6B9E"/>
    <w:rsid w:val="003C70FB"/>
    <w:rsid w:val="003D1A06"/>
    <w:rsid w:val="003E0A97"/>
    <w:rsid w:val="003E3FFC"/>
    <w:rsid w:val="003E40F4"/>
    <w:rsid w:val="003E6D7E"/>
    <w:rsid w:val="003F2A99"/>
    <w:rsid w:val="003F2D2E"/>
    <w:rsid w:val="003F305C"/>
    <w:rsid w:val="003F3B94"/>
    <w:rsid w:val="003F443F"/>
    <w:rsid w:val="003F6110"/>
    <w:rsid w:val="003F6EEE"/>
    <w:rsid w:val="004007EE"/>
    <w:rsid w:val="00402DD8"/>
    <w:rsid w:val="004046A5"/>
    <w:rsid w:val="00406207"/>
    <w:rsid w:val="00410B87"/>
    <w:rsid w:val="00415379"/>
    <w:rsid w:val="00417FC2"/>
    <w:rsid w:val="00421648"/>
    <w:rsid w:val="00423758"/>
    <w:rsid w:val="004245FF"/>
    <w:rsid w:val="00425A6E"/>
    <w:rsid w:val="004263B6"/>
    <w:rsid w:val="00433AC9"/>
    <w:rsid w:val="00433E00"/>
    <w:rsid w:val="0043510F"/>
    <w:rsid w:val="00435533"/>
    <w:rsid w:val="00437A59"/>
    <w:rsid w:val="004405E2"/>
    <w:rsid w:val="00440694"/>
    <w:rsid w:val="00441D60"/>
    <w:rsid w:val="004429E1"/>
    <w:rsid w:val="004462A0"/>
    <w:rsid w:val="00446DF7"/>
    <w:rsid w:val="004519C3"/>
    <w:rsid w:val="004568D3"/>
    <w:rsid w:val="0046170F"/>
    <w:rsid w:val="00465108"/>
    <w:rsid w:val="004663BD"/>
    <w:rsid w:val="004742E2"/>
    <w:rsid w:val="00474D1B"/>
    <w:rsid w:val="00477446"/>
    <w:rsid w:val="00480814"/>
    <w:rsid w:val="00480B0E"/>
    <w:rsid w:val="0048231A"/>
    <w:rsid w:val="00482C30"/>
    <w:rsid w:val="0048563F"/>
    <w:rsid w:val="00487634"/>
    <w:rsid w:val="00492272"/>
    <w:rsid w:val="00495F29"/>
    <w:rsid w:val="00496B2D"/>
    <w:rsid w:val="004A3B62"/>
    <w:rsid w:val="004A5235"/>
    <w:rsid w:val="004B1B27"/>
    <w:rsid w:val="004B2BD3"/>
    <w:rsid w:val="004B2D74"/>
    <w:rsid w:val="004B54FA"/>
    <w:rsid w:val="004B5AED"/>
    <w:rsid w:val="004B6A5C"/>
    <w:rsid w:val="004C0318"/>
    <w:rsid w:val="004C6CD0"/>
    <w:rsid w:val="004D099F"/>
    <w:rsid w:val="004D77C0"/>
    <w:rsid w:val="004E0853"/>
    <w:rsid w:val="004E28CE"/>
    <w:rsid w:val="004E2EE9"/>
    <w:rsid w:val="004E3A6E"/>
    <w:rsid w:val="004E6042"/>
    <w:rsid w:val="004F2929"/>
    <w:rsid w:val="004F5354"/>
    <w:rsid w:val="004F536C"/>
    <w:rsid w:val="005060A2"/>
    <w:rsid w:val="00510D41"/>
    <w:rsid w:val="00512D53"/>
    <w:rsid w:val="005154BF"/>
    <w:rsid w:val="00515795"/>
    <w:rsid w:val="00516FDA"/>
    <w:rsid w:val="00520C46"/>
    <w:rsid w:val="00525655"/>
    <w:rsid w:val="00535B03"/>
    <w:rsid w:val="00536611"/>
    <w:rsid w:val="0053796A"/>
    <w:rsid w:val="00541D20"/>
    <w:rsid w:val="0054448F"/>
    <w:rsid w:val="005508CC"/>
    <w:rsid w:val="0055342F"/>
    <w:rsid w:val="00554646"/>
    <w:rsid w:val="0055613A"/>
    <w:rsid w:val="0055641E"/>
    <w:rsid w:val="005564AA"/>
    <w:rsid w:val="005603E4"/>
    <w:rsid w:val="00560935"/>
    <w:rsid w:val="00567364"/>
    <w:rsid w:val="0056795E"/>
    <w:rsid w:val="00590DCF"/>
    <w:rsid w:val="005A28D6"/>
    <w:rsid w:val="005A476F"/>
    <w:rsid w:val="005A5AA7"/>
    <w:rsid w:val="005B2551"/>
    <w:rsid w:val="005B77D3"/>
    <w:rsid w:val="005C1C21"/>
    <w:rsid w:val="005C3F59"/>
    <w:rsid w:val="005D29FF"/>
    <w:rsid w:val="005D2C9D"/>
    <w:rsid w:val="005D43F8"/>
    <w:rsid w:val="005D4D6B"/>
    <w:rsid w:val="005D6D27"/>
    <w:rsid w:val="005E57A2"/>
    <w:rsid w:val="005E6CAE"/>
    <w:rsid w:val="005F1A2F"/>
    <w:rsid w:val="005F34B8"/>
    <w:rsid w:val="005F5C17"/>
    <w:rsid w:val="00611675"/>
    <w:rsid w:val="00611965"/>
    <w:rsid w:val="00611C7C"/>
    <w:rsid w:val="00617D42"/>
    <w:rsid w:val="0062093A"/>
    <w:rsid w:val="006212B6"/>
    <w:rsid w:val="0062289E"/>
    <w:rsid w:val="0062507D"/>
    <w:rsid w:val="00632206"/>
    <w:rsid w:val="006347FB"/>
    <w:rsid w:val="00637010"/>
    <w:rsid w:val="00640EEE"/>
    <w:rsid w:val="00645E70"/>
    <w:rsid w:val="0064634C"/>
    <w:rsid w:val="006502BC"/>
    <w:rsid w:val="006506B2"/>
    <w:rsid w:val="006526E8"/>
    <w:rsid w:val="00665C33"/>
    <w:rsid w:val="00667EC3"/>
    <w:rsid w:val="00670B4F"/>
    <w:rsid w:val="00672453"/>
    <w:rsid w:val="0067655A"/>
    <w:rsid w:val="0067792C"/>
    <w:rsid w:val="00680156"/>
    <w:rsid w:val="00686289"/>
    <w:rsid w:val="00687D79"/>
    <w:rsid w:val="00691E2E"/>
    <w:rsid w:val="00696513"/>
    <w:rsid w:val="006A110A"/>
    <w:rsid w:val="006A5E21"/>
    <w:rsid w:val="006A69E1"/>
    <w:rsid w:val="006A7ECB"/>
    <w:rsid w:val="006B1827"/>
    <w:rsid w:val="006B46A5"/>
    <w:rsid w:val="006B5C6B"/>
    <w:rsid w:val="006B6EA0"/>
    <w:rsid w:val="006C05A8"/>
    <w:rsid w:val="006C0F03"/>
    <w:rsid w:val="006C3402"/>
    <w:rsid w:val="006D02DF"/>
    <w:rsid w:val="006D0DF9"/>
    <w:rsid w:val="006D27AC"/>
    <w:rsid w:val="006D2B3C"/>
    <w:rsid w:val="006E3A96"/>
    <w:rsid w:val="006F0C1D"/>
    <w:rsid w:val="006F1856"/>
    <w:rsid w:val="006F27A0"/>
    <w:rsid w:val="006F321B"/>
    <w:rsid w:val="006F5419"/>
    <w:rsid w:val="006F6D2E"/>
    <w:rsid w:val="00700A46"/>
    <w:rsid w:val="0070354A"/>
    <w:rsid w:val="00710014"/>
    <w:rsid w:val="007126B5"/>
    <w:rsid w:val="0071322A"/>
    <w:rsid w:val="007177B1"/>
    <w:rsid w:val="00720234"/>
    <w:rsid w:val="00723CC4"/>
    <w:rsid w:val="00724730"/>
    <w:rsid w:val="00733728"/>
    <w:rsid w:val="00733F52"/>
    <w:rsid w:val="00735AEB"/>
    <w:rsid w:val="0074436B"/>
    <w:rsid w:val="00744376"/>
    <w:rsid w:val="007508C7"/>
    <w:rsid w:val="00755655"/>
    <w:rsid w:val="007617B4"/>
    <w:rsid w:val="0076466E"/>
    <w:rsid w:val="007660D3"/>
    <w:rsid w:val="00772EDC"/>
    <w:rsid w:val="0077565B"/>
    <w:rsid w:val="007829B2"/>
    <w:rsid w:val="0078398D"/>
    <w:rsid w:val="00794108"/>
    <w:rsid w:val="007A1E8C"/>
    <w:rsid w:val="007A2A7D"/>
    <w:rsid w:val="007A30FD"/>
    <w:rsid w:val="007B143D"/>
    <w:rsid w:val="007B147B"/>
    <w:rsid w:val="007B1BE6"/>
    <w:rsid w:val="007B74CA"/>
    <w:rsid w:val="007C6662"/>
    <w:rsid w:val="007D0175"/>
    <w:rsid w:val="007D16AC"/>
    <w:rsid w:val="007D36C7"/>
    <w:rsid w:val="007D7263"/>
    <w:rsid w:val="007D7B11"/>
    <w:rsid w:val="007E2815"/>
    <w:rsid w:val="007E5F2F"/>
    <w:rsid w:val="007F272F"/>
    <w:rsid w:val="007F345B"/>
    <w:rsid w:val="007F3711"/>
    <w:rsid w:val="007F5123"/>
    <w:rsid w:val="007F5E05"/>
    <w:rsid w:val="007F6D84"/>
    <w:rsid w:val="0080156F"/>
    <w:rsid w:val="00803DF9"/>
    <w:rsid w:val="00805822"/>
    <w:rsid w:val="00814EEB"/>
    <w:rsid w:val="00816DF5"/>
    <w:rsid w:val="008172EF"/>
    <w:rsid w:val="00823652"/>
    <w:rsid w:val="00825795"/>
    <w:rsid w:val="008305E4"/>
    <w:rsid w:val="008308C2"/>
    <w:rsid w:val="00833288"/>
    <w:rsid w:val="008338E6"/>
    <w:rsid w:val="00846206"/>
    <w:rsid w:val="00847957"/>
    <w:rsid w:val="008513E7"/>
    <w:rsid w:val="00853E74"/>
    <w:rsid w:val="0085502F"/>
    <w:rsid w:val="008578EE"/>
    <w:rsid w:val="00860C3E"/>
    <w:rsid w:val="00862EED"/>
    <w:rsid w:val="00865E1F"/>
    <w:rsid w:val="00866EB9"/>
    <w:rsid w:val="0086770A"/>
    <w:rsid w:val="00870919"/>
    <w:rsid w:val="00870D2D"/>
    <w:rsid w:val="0087782A"/>
    <w:rsid w:val="00881D6D"/>
    <w:rsid w:val="008822A2"/>
    <w:rsid w:val="008858AF"/>
    <w:rsid w:val="0089014F"/>
    <w:rsid w:val="00896C22"/>
    <w:rsid w:val="008A444D"/>
    <w:rsid w:val="008B1039"/>
    <w:rsid w:val="008B742F"/>
    <w:rsid w:val="008C273A"/>
    <w:rsid w:val="008C360A"/>
    <w:rsid w:val="008C5686"/>
    <w:rsid w:val="008C71E3"/>
    <w:rsid w:val="008D4CB0"/>
    <w:rsid w:val="008D5357"/>
    <w:rsid w:val="008E28E3"/>
    <w:rsid w:val="008F1D3B"/>
    <w:rsid w:val="008F4090"/>
    <w:rsid w:val="008F59AF"/>
    <w:rsid w:val="008F617D"/>
    <w:rsid w:val="008F7DAD"/>
    <w:rsid w:val="009104A0"/>
    <w:rsid w:val="009166FB"/>
    <w:rsid w:val="00917EB1"/>
    <w:rsid w:val="0092355A"/>
    <w:rsid w:val="00924E6C"/>
    <w:rsid w:val="009338A1"/>
    <w:rsid w:val="00933E07"/>
    <w:rsid w:val="00936CFE"/>
    <w:rsid w:val="00940AFC"/>
    <w:rsid w:val="00943135"/>
    <w:rsid w:val="00945840"/>
    <w:rsid w:val="0095105E"/>
    <w:rsid w:val="00951917"/>
    <w:rsid w:val="00952960"/>
    <w:rsid w:val="00953B89"/>
    <w:rsid w:val="00955BAB"/>
    <w:rsid w:val="00957F27"/>
    <w:rsid w:val="00961FC6"/>
    <w:rsid w:val="00963739"/>
    <w:rsid w:val="00963FDC"/>
    <w:rsid w:val="00965AB2"/>
    <w:rsid w:val="009705C8"/>
    <w:rsid w:val="0097572F"/>
    <w:rsid w:val="00976834"/>
    <w:rsid w:val="00990EF6"/>
    <w:rsid w:val="009A13A2"/>
    <w:rsid w:val="009A2BF0"/>
    <w:rsid w:val="009B42BC"/>
    <w:rsid w:val="009B6227"/>
    <w:rsid w:val="009B6CF2"/>
    <w:rsid w:val="009C1FD9"/>
    <w:rsid w:val="009C1FE6"/>
    <w:rsid w:val="009C2406"/>
    <w:rsid w:val="009C7663"/>
    <w:rsid w:val="009D3F3D"/>
    <w:rsid w:val="009D4555"/>
    <w:rsid w:val="009D5BE8"/>
    <w:rsid w:val="009D60AB"/>
    <w:rsid w:val="009E4D33"/>
    <w:rsid w:val="009E67AF"/>
    <w:rsid w:val="009F0243"/>
    <w:rsid w:val="00A012F4"/>
    <w:rsid w:val="00A01C87"/>
    <w:rsid w:val="00A03B7E"/>
    <w:rsid w:val="00A06BF3"/>
    <w:rsid w:val="00A07AD5"/>
    <w:rsid w:val="00A154BC"/>
    <w:rsid w:val="00A20FAE"/>
    <w:rsid w:val="00A22D17"/>
    <w:rsid w:val="00A260FE"/>
    <w:rsid w:val="00A30E94"/>
    <w:rsid w:val="00A32128"/>
    <w:rsid w:val="00A348E3"/>
    <w:rsid w:val="00A429D9"/>
    <w:rsid w:val="00A46CF1"/>
    <w:rsid w:val="00A471EA"/>
    <w:rsid w:val="00A47413"/>
    <w:rsid w:val="00A55A01"/>
    <w:rsid w:val="00A60093"/>
    <w:rsid w:val="00A6042F"/>
    <w:rsid w:val="00A6315D"/>
    <w:rsid w:val="00A646D5"/>
    <w:rsid w:val="00A65A9A"/>
    <w:rsid w:val="00A65BAE"/>
    <w:rsid w:val="00A7284C"/>
    <w:rsid w:val="00A7475B"/>
    <w:rsid w:val="00A75E2E"/>
    <w:rsid w:val="00A769F0"/>
    <w:rsid w:val="00A77B5E"/>
    <w:rsid w:val="00A87ACB"/>
    <w:rsid w:val="00AA0658"/>
    <w:rsid w:val="00AA1AA9"/>
    <w:rsid w:val="00AA7CBA"/>
    <w:rsid w:val="00AB5C37"/>
    <w:rsid w:val="00AC4FA8"/>
    <w:rsid w:val="00AC5560"/>
    <w:rsid w:val="00AC5962"/>
    <w:rsid w:val="00AD0BDB"/>
    <w:rsid w:val="00AD15F6"/>
    <w:rsid w:val="00AD1D4E"/>
    <w:rsid w:val="00AD46D1"/>
    <w:rsid w:val="00AD6B62"/>
    <w:rsid w:val="00AE2767"/>
    <w:rsid w:val="00AE33FF"/>
    <w:rsid w:val="00AE3CDA"/>
    <w:rsid w:val="00AE411F"/>
    <w:rsid w:val="00AE4C82"/>
    <w:rsid w:val="00AE66A1"/>
    <w:rsid w:val="00AF65B0"/>
    <w:rsid w:val="00B00059"/>
    <w:rsid w:val="00B007B6"/>
    <w:rsid w:val="00B02BDB"/>
    <w:rsid w:val="00B052B8"/>
    <w:rsid w:val="00B0599B"/>
    <w:rsid w:val="00B07E4F"/>
    <w:rsid w:val="00B119C6"/>
    <w:rsid w:val="00B20E58"/>
    <w:rsid w:val="00B22684"/>
    <w:rsid w:val="00B2335B"/>
    <w:rsid w:val="00B24055"/>
    <w:rsid w:val="00B335D2"/>
    <w:rsid w:val="00B33D0C"/>
    <w:rsid w:val="00B502D1"/>
    <w:rsid w:val="00B538EB"/>
    <w:rsid w:val="00B57010"/>
    <w:rsid w:val="00B57076"/>
    <w:rsid w:val="00B62416"/>
    <w:rsid w:val="00B6263C"/>
    <w:rsid w:val="00B63A44"/>
    <w:rsid w:val="00B6527F"/>
    <w:rsid w:val="00B74C2E"/>
    <w:rsid w:val="00B76D4C"/>
    <w:rsid w:val="00B812BD"/>
    <w:rsid w:val="00B937DD"/>
    <w:rsid w:val="00B94910"/>
    <w:rsid w:val="00B94DFB"/>
    <w:rsid w:val="00B950D4"/>
    <w:rsid w:val="00BA1262"/>
    <w:rsid w:val="00BA1ACE"/>
    <w:rsid w:val="00BA1D6F"/>
    <w:rsid w:val="00BA3B75"/>
    <w:rsid w:val="00BA640F"/>
    <w:rsid w:val="00BA7B2E"/>
    <w:rsid w:val="00BB45F7"/>
    <w:rsid w:val="00BB5D57"/>
    <w:rsid w:val="00BD0B3E"/>
    <w:rsid w:val="00BD2533"/>
    <w:rsid w:val="00BD3028"/>
    <w:rsid w:val="00BD371D"/>
    <w:rsid w:val="00BD52B0"/>
    <w:rsid w:val="00BD5CFE"/>
    <w:rsid w:val="00BE58B5"/>
    <w:rsid w:val="00BF3157"/>
    <w:rsid w:val="00BF4A2C"/>
    <w:rsid w:val="00BF608F"/>
    <w:rsid w:val="00BF71A7"/>
    <w:rsid w:val="00BF74B4"/>
    <w:rsid w:val="00C06805"/>
    <w:rsid w:val="00C113D6"/>
    <w:rsid w:val="00C27D58"/>
    <w:rsid w:val="00C358C8"/>
    <w:rsid w:val="00C3778E"/>
    <w:rsid w:val="00C41CB2"/>
    <w:rsid w:val="00C44675"/>
    <w:rsid w:val="00C5021E"/>
    <w:rsid w:val="00C517B8"/>
    <w:rsid w:val="00C555F2"/>
    <w:rsid w:val="00C61695"/>
    <w:rsid w:val="00C61FF7"/>
    <w:rsid w:val="00C62B67"/>
    <w:rsid w:val="00C6467F"/>
    <w:rsid w:val="00C72096"/>
    <w:rsid w:val="00C75CB7"/>
    <w:rsid w:val="00C774F3"/>
    <w:rsid w:val="00C77D3E"/>
    <w:rsid w:val="00C82478"/>
    <w:rsid w:val="00C86ECF"/>
    <w:rsid w:val="00C91EEF"/>
    <w:rsid w:val="00C957F3"/>
    <w:rsid w:val="00C97D35"/>
    <w:rsid w:val="00CA0005"/>
    <w:rsid w:val="00CA0AE1"/>
    <w:rsid w:val="00CA2D1D"/>
    <w:rsid w:val="00CA48F0"/>
    <w:rsid w:val="00CB013B"/>
    <w:rsid w:val="00CB0C7D"/>
    <w:rsid w:val="00CB2033"/>
    <w:rsid w:val="00CC0D86"/>
    <w:rsid w:val="00CC1CA0"/>
    <w:rsid w:val="00CC65FA"/>
    <w:rsid w:val="00CD0228"/>
    <w:rsid w:val="00CD33FC"/>
    <w:rsid w:val="00CE16AD"/>
    <w:rsid w:val="00CE268B"/>
    <w:rsid w:val="00CE2FB1"/>
    <w:rsid w:val="00CF0154"/>
    <w:rsid w:val="00CF0853"/>
    <w:rsid w:val="00CF44FA"/>
    <w:rsid w:val="00CF472A"/>
    <w:rsid w:val="00CF62E4"/>
    <w:rsid w:val="00D01837"/>
    <w:rsid w:val="00D04F20"/>
    <w:rsid w:val="00D067F5"/>
    <w:rsid w:val="00D06B2A"/>
    <w:rsid w:val="00D075D3"/>
    <w:rsid w:val="00D16BB3"/>
    <w:rsid w:val="00D171E1"/>
    <w:rsid w:val="00D209E1"/>
    <w:rsid w:val="00D2164B"/>
    <w:rsid w:val="00D21A01"/>
    <w:rsid w:val="00D22B70"/>
    <w:rsid w:val="00D22F0A"/>
    <w:rsid w:val="00D25B79"/>
    <w:rsid w:val="00D2614D"/>
    <w:rsid w:val="00D34E1E"/>
    <w:rsid w:val="00D43278"/>
    <w:rsid w:val="00D4704C"/>
    <w:rsid w:val="00D478B7"/>
    <w:rsid w:val="00D528C3"/>
    <w:rsid w:val="00D5338E"/>
    <w:rsid w:val="00D57433"/>
    <w:rsid w:val="00D62B16"/>
    <w:rsid w:val="00D638AC"/>
    <w:rsid w:val="00D63BA2"/>
    <w:rsid w:val="00D663D6"/>
    <w:rsid w:val="00D73FD1"/>
    <w:rsid w:val="00D75E73"/>
    <w:rsid w:val="00D76F20"/>
    <w:rsid w:val="00D94828"/>
    <w:rsid w:val="00D94ABC"/>
    <w:rsid w:val="00D94D39"/>
    <w:rsid w:val="00D95DC0"/>
    <w:rsid w:val="00D976F4"/>
    <w:rsid w:val="00DA1281"/>
    <w:rsid w:val="00DA2C54"/>
    <w:rsid w:val="00DA54CD"/>
    <w:rsid w:val="00DA5CEA"/>
    <w:rsid w:val="00DB29A3"/>
    <w:rsid w:val="00DB2A2C"/>
    <w:rsid w:val="00DB39A6"/>
    <w:rsid w:val="00DC26B1"/>
    <w:rsid w:val="00DC398E"/>
    <w:rsid w:val="00DC4B06"/>
    <w:rsid w:val="00DC4DAD"/>
    <w:rsid w:val="00DC7982"/>
    <w:rsid w:val="00DE29E2"/>
    <w:rsid w:val="00DE3051"/>
    <w:rsid w:val="00DE614C"/>
    <w:rsid w:val="00DF44ED"/>
    <w:rsid w:val="00DF79E6"/>
    <w:rsid w:val="00E0024A"/>
    <w:rsid w:val="00E02120"/>
    <w:rsid w:val="00E02415"/>
    <w:rsid w:val="00E05B5A"/>
    <w:rsid w:val="00E11E7F"/>
    <w:rsid w:val="00E12C18"/>
    <w:rsid w:val="00E1418F"/>
    <w:rsid w:val="00E16C3E"/>
    <w:rsid w:val="00E21554"/>
    <w:rsid w:val="00E22BCF"/>
    <w:rsid w:val="00E25D99"/>
    <w:rsid w:val="00E32F0B"/>
    <w:rsid w:val="00E356E4"/>
    <w:rsid w:val="00E3617C"/>
    <w:rsid w:val="00E415B9"/>
    <w:rsid w:val="00E508B0"/>
    <w:rsid w:val="00E548DC"/>
    <w:rsid w:val="00E54AAC"/>
    <w:rsid w:val="00E570E6"/>
    <w:rsid w:val="00E753C4"/>
    <w:rsid w:val="00E7579C"/>
    <w:rsid w:val="00E772A8"/>
    <w:rsid w:val="00E77784"/>
    <w:rsid w:val="00E9353E"/>
    <w:rsid w:val="00E947ED"/>
    <w:rsid w:val="00E963FE"/>
    <w:rsid w:val="00E97312"/>
    <w:rsid w:val="00EA13C9"/>
    <w:rsid w:val="00EA6859"/>
    <w:rsid w:val="00EB1B9F"/>
    <w:rsid w:val="00EB51DB"/>
    <w:rsid w:val="00EB547B"/>
    <w:rsid w:val="00EC4194"/>
    <w:rsid w:val="00EC6A87"/>
    <w:rsid w:val="00EC7765"/>
    <w:rsid w:val="00EC7FFA"/>
    <w:rsid w:val="00ED5167"/>
    <w:rsid w:val="00ED5B45"/>
    <w:rsid w:val="00ED5C8B"/>
    <w:rsid w:val="00EE0AAA"/>
    <w:rsid w:val="00EE1C29"/>
    <w:rsid w:val="00EE3286"/>
    <w:rsid w:val="00EE63CF"/>
    <w:rsid w:val="00EE7F13"/>
    <w:rsid w:val="00EF2D03"/>
    <w:rsid w:val="00EF4DA6"/>
    <w:rsid w:val="00F07BBD"/>
    <w:rsid w:val="00F129A8"/>
    <w:rsid w:val="00F14626"/>
    <w:rsid w:val="00F20395"/>
    <w:rsid w:val="00F2043E"/>
    <w:rsid w:val="00F20902"/>
    <w:rsid w:val="00F22103"/>
    <w:rsid w:val="00F24CDB"/>
    <w:rsid w:val="00F2747B"/>
    <w:rsid w:val="00F317FF"/>
    <w:rsid w:val="00F3487F"/>
    <w:rsid w:val="00F34EE3"/>
    <w:rsid w:val="00F3539B"/>
    <w:rsid w:val="00F37AA0"/>
    <w:rsid w:val="00F43F2C"/>
    <w:rsid w:val="00F43F41"/>
    <w:rsid w:val="00F44825"/>
    <w:rsid w:val="00F51265"/>
    <w:rsid w:val="00F55570"/>
    <w:rsid w:val="00F57DDD"/>
    <w:rsid w:val="00F614DC"/>
    <w:rsid w:val="00F622A2"/>
    <w:rsid w:val="00F629E3"/>
    <w:rsid w:val="00F70150"/>
    <w:rsid w:val="00F709DA"/>
    <w:rsid w:val="00F73A43"/>
    <w:rsid w:val="00F84D15"/>
    <w:rsid w:val="00F84D97"/>
    <w:rsid w:val="00F87465"/>
    <w:rsid w:val="00F944F3"/>
    <w:rsid w:val="00F973F9"/>
    <w:rsid w:val="00F975FD"/>
    <w:rsid w:val="00F97C1A"/>
    <w:rsid w:val="00FA0FA6"/>
    <w:rsid w:val="00FA6A50"/>
    <w:rsid w:val="00FA6FEF"/>
    <w:rsid w:val="00FB07AA"/>
    <w:rsid w:val="00FB29C4"/>
    <w:rsid w:val="00FB587D"/>
    <w:rsid w:val="00FC334D"/>
    <w:rsid w:val="00FC33BC"/>
    <w:rsid w:val="00FC400B"/>
    <w:rsid w:val="00FC6C9B"/>
    <w:rsid w:val="00FD32C1"/>
    <w:rsid w:val="00FD6AAF"/>
    <w:rsid w:val="00FE0076"/>
    <w:rsid w:val="00FE1BFC"/>
    <w:rsid w:val="00FE25D1"/>
    <w:rsid w:val="00FE45F7"/>
    <w:rsid w:val="00FE4706"/>
    <w:rsid w:val="00FF4C1F"/>
    <w:rsid w:val="00FF599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2684"/>
  </w:style>
  <w:style w:type="paragraph" w:styleId="Nagwek2">
    <w:name w:val="heading 2"/>
    <w:basedOn w:val="Normalny"/>
    <w:next w:val="Normalny"/>
    <w:link w:val="Nagwek2Znak"/>
    <w:uiPriority w:val="9"/>
    <w:semiHidden/>
    <w:unhideWhenUsed/>
    <w:qFormat/>
    <w:rsid w:val="000967F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825795"/>
    <w:pPr>
      <w:keepNext/>
      <w:keepLines/>
      <w:numPr>
        <w:numId w:val="14"/>
      </w:numPr>
      <w:spacing w:before="40" w:after="0" w:line="259" w:lineRule="auto"/>
      <w:ind w:left="502"/>
      <w:outlineLvl w:val="2"/>
    </w:pPr>
    <w:rPr>
      <w:rFonts w:asciiTheme="majorHAnsi" w:eastAsiaTheme="majorEastAsia" w:hAnsiTheme="majorHAnsi" w:cstheme="majorBidi"/>
      <w:b/>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F5354"/>
    <w:pPr>
      <w:ind w:left="720"/>
      <w:contextualSpacing/>
    </w:pPr>
  </w:style>
  <w:style w:type="paragraph" w:styleId="Tekstprzypisudolnego">
    <w:name w:val="footnote text"/>
    <w:aliases w:val="Podrozdział,Footnote,Podrozdzia3"/>
    <w:basedOn w:val="Normalny"/>
    <w:link w:val="TekstprzypisudolnegoZnak"/>
    <w:uiPriority w:val="99"/>
    <w:semiHidden/>
    <w:unhideWhenUsed/>
    <w:qFormat/>
    <w:rsid w:val="00F55570"/>
    <w:pPr>
      <w:spacing w:after="0" w:line="240" w:lineRule="auto"/>
    </w:pPr>
    <w:rPr>
      <w:rFonts w:ascii="Calibri" w:eastAsia="Calibri" w:hAnsi="Calibri" w:cs="Times New Roman"/>
      <w:sz w:val="20"/>
      <w:szCs w:val="20"/>
    </w:rPr>
  </w:style>
  <w:style w:type="character" w:customStyle="1" w:styleId="TekstprzypisudolnegoZnak">
    <w:name w:val="Tekst przypisu dolnego Znak"/>
    <w:aliases w:val="Podrozdział Znak,Footnote Znak,Podrozdzia3 Znak"/>
    <w:basedOn w:val="Domylnaczcionkaakapitu"/>
    <w:link w:val="Tekstprzypisudolnego"/>
    <w:uiPriority w:val="99"/>
    <w:semiHidden/>
    <w:rsid w:val="00F55570"/>
    <w:rPr>
      <w:rFonts w:ascii="Calibri" w:eastAsia="Calibri" w:hAnsi="Calibri" w:cs="Times New Roman"/>
      <w:sz w:val="20"/>
      <w:szCs w:val="20"/>
    </w:rPr>
  </w:style>
  <w:style w:type="character" w:styleId="Odwoanieprzypisudolnego">
    <w:name w:val="footnote reference"/>
    <w:uiPriority w:val="99"/>
    <w:unhideWhenUsed/>
    <w:rsid w:val="00F55570"/>
    <w:rPr>
      <w:vertAlign w:val="superscript"/>
    </w:rPr>
  </w:style>
  <w:style w:type="table" w:styleId="Tabela-Siatka">
    <w:name w:val="Table Grid"/>
    <w:basedOn w:val="Standardowy"/>
    <w:uiPriority w:val="59"/>
    <w:rsid w:val="003213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5E6CA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6CAE"/>
  </w:style>
  <w:style w:type="paragraph" w:styleId="Stopka">
    <w:name w:val="footer"/>
    <w:basedOn w:val="Normalny"/>
    <w:link w:val="StopkaZnak"/>
    <w:uiPriority w:val="99"/>
    <w:unhideWhenUsed/>
    <w:rsid w:val="005E6CA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6CAE"/>
  </w:style>
  <w:style w:type="character" w:styleId="Odwoaniedokomentarza">
    <w:name w:val="annotation reference"/>
    <w:basedOn w:val="Domylnaczcionkaakapitu"/>
    <w:uiPriority w:val="99"/>
    <w:unhideWhenUsed/>
    <w:rsid w:val="007A1E8C"/>
    <w:rPr>
      <w:sz w:val="16"/>
      <w:szCs w:val="16"/>
    </w:rPr>
  </w:style>
  <w:style w:type="paragraph" w:styleId="Tekstkomentarza">
    <w:name w:val="annotation text"/>
    <w:basedOn w:val="Normalny"/>
    <w:link w:val="TekstkomentarzaZnak"/>
    <w:uiPriority w:val="99"/>
    <w:unhideWhenUsed/>
    <w:rsid w:val="007A1E8C"/>
    <w:pPr>
      <w:spacing w:line="240" w:lineRule="auto"/>
    </w:pPr>
    <w:rPr>
      <w:sz w:val="20"/>
      <w:szCs w:val="20"/>
    </w:rPr>
  </w:style>
  <w:style w:type="character" w:customStyle="1" w:styleId="TekstkomentarzaZnak">
    <w:name w:val="Tekst komentarza Znak"/>
    <w:basedOn w:val="Domylnaczcionkaakapitu"/>
    <w:link w:val="Tekstkomentarza"/>
    <w:uiPriority w:val="99"/>
    <w:rsid w:val="007A1E8C"/>
    <w:rPr>
      <w:sz w:val="20"/>
      <w:szCs w:val="20"/>
    </w:rPr>
  </w:style>
  <w:style w:type="paragraph" w:styleId="Tematkomentarza">
    <w:name w:val="annotation subject"/>
    <w:basedOn w:val="Tekstkomentarza"/>
    <w:next w:val="Tekstkomentarza"/>
    <w:link w:val="TematkomentarzaZnak"/>
    <w:uiPriority w:val="99"/>
    <w:semiHidden/>
    <w:unhideWhenUsed/>
    <w:rsid w:val="007A1E8C"/>
    <w:rPr>
      <w:b/>
      <w:bCs/>
    </w:rPr>
  </w:style>
  <w:style w:type="character" w:customStyle="1" w:styleId="TematkomentarzaZnak">
    <w:name w:val="Temat komentarza Znak"/>
    <w:basedOn w:val="TekstkomentarzaZnak"/>
    <w:link w:val="Tematkomentarza"/>
    <w:uiPriority w:val="99"/>
    <w:semiHidden/>
    <w:rsid w:val="007A1E8C"/>
    <w:rPr>
      <w:b/>
      <w:bCs/>
      <w:sz w:val="20"/>
      <w:szCs w:val="20"/>
    </w:rPr>
  </w:style>
  <w:style w:type="paragraph" w:styleId="Tekstdymka">
    <w:name w:val="Balloon Text"/>
    <w:basedOn w:val="Normalny"/>
    <w:link w:val="TekstdymkaZnak"/>
    <w:uiPriority w:val="99"/>
    <w:semiHidden/>
    <w:unhideWhenUsed/>
    <w:rsid w:val="007A1E8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A1E8C"/>
    <w:rPr>
      <w:rFonts w:ascii="Tahoma" w:hAnsi="Tahoma" w:cs="Tahoma"/>
      <w:sz w:val="16"/>
      <w:szCs w:val="16"/>
    </w:rPr>
  </w:style>
  <w:style w:type="character" w:styleId="Hipercze">
    <w:name w:val="Hyperlink"/>
    <w:basedOn w:val="Domylnaczcionkaakapitu"/>
    <w:uiPriority w:val="99"/>
    <w:unhideWhenUsed/>
    <w:rsid w:val="00D63BA2"/>
    <w:rPr>
      <w:color w:val="0000FF"/>
      <w:u w:val="single"/>
    </w:rPr>
  </w:style>
  <w:style w:type="character" w:styleId="UyteHipercze">
    <w:name w:val="FollowedHyperlink"/>
    <w:basedOn w:val="Domylnaczcionkaakapitu"/>
    <w:uiPriority w:val="99"/>
    <w:semiHidden/>
    <w:unhideWhenUsed/>
    <w:rsid w:val="003F2A99"/>
    <w:rPr>
      <w:color w:val="800080" w:themeColor="followedHyperlink"/>
      <w:u w:val="single"/>
    </w:rPr>
  </w:style>
  <w:style w:type="paragraph" w:styleId="Zwykytekst">
    <w:name w:val="Plain Text"/>
    <w:basedOn w:val="Normalny"/>
    <w:link w:val="ZwykytekstZnak"/>
    <w:unhideWhenUsed/>
    <w:rsid w:val="00C06805"/>
    <w:pPr>
      <w:spacing w:after="0" w:line="240" w:lineRule="auto"/>
    </w:pPr>
    <w:rPr>
      <w:rFonts w:ascii="Consolas" w:eastAsia="Calibri" w:hAnsi="Consolas" w:cs="Times New Roman"/>
      <w:sz w:val="21"/>
      <w:szCs w:val="21"/>
      <w:lang w:eastAsia="en-US"/>
    </w:rPr>
  </w:style>
  <w:style w:type="character" w:customStyle="1" w:styleId="ZwykytekstZnak">
    <w:name w:val="Zwykły tekst Znak"/>
    <w:basedOn w:val="Domylnaczcionkaakapitu"/>
    <w:link w:val="Zwykytekst"/>
    <w:rsid w:val="00C06805"/>
    <w:rPr>
      <w:rFonts w:ascii="Consolas" w:eastAsia="Calibri" w:hAnsi="Consolas" w:cs="Times New Roman"/>
      <w:sz w:val="21"/>
      <w:szCs w:val="21"/>
      <w:lang w:eastAsia="en-US"/>
    </w:rPr>
  </w:style>
  <w:style w:type="paragraph" w:styleId="Tekstprzypisukocowego">
    <w:name w:val="endnote text"/>
    <w:basedOn w:val="Normalny"/>
    <w:link w:val="TekstprzypisukocowegoZnak"/>
    <w:uiPriority w:val="99"/>
    <w:semiHidden/>
    <w:unhideWhenUsed/>
    <w:rsid w:val="000B366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B3668"/>
    <w:rPr>
      <w:sz w:val="20"/>
      <w:szCs w:val="20"/>
    </w:rPr>
  </w:style>
  <w:style w:type="character" w:styleId="Odwoanieprzypisukocowego">
    <w:name w:val="endnote reference"/>
    <w:basedOn w:val="Domylnaczcionkaakapitu"/>
    <w:uiPriority w:val="99"/>
    <w:semiHidden/>
    <w:unhideWhenUsed/>
    <w:rsid w:val="000B3668"/>
    <w:rPr>
      <w:vertAlign w:val="superscript"/>
    </w:rPr>
  </w:style>
  <w:style w:type="character" w:customStyle="1" w:styleId="Nagwek3Znak">
    <w:name w:val="Nagłówek 3 Znak"/>
    <w:basedOn w:val="Domylnaczcionkaakapitu"/>
    <w:link w:val="Nagwek3"/>
    <w:uiPriority w:val="9"/>
    <w:rsid w:val="00825795"/>
    <w:rPr>
      <w:rFonts w:asciiTheme="majorHAnsi" w:eastAsiaTheme="majorEastAsia" w:hAnsiTheme="majorHAnsi" w:cstheme="majorBidi"/>
      <w:b/>
      <w:sz w:val="24"/>
      <w:szCs w:val="24"/>
      <w:lang w:eastAsia="en-US"/>
    </w:rPr>
  </w:style>
  <w:style w:type="character" w:customStyle="1" w:styleId="Nagwek2Znak">
    <w:name w:val="Nagłówek 2 Znak"/>
    <w:basedOn w:val="Domylnaczcionkaakapitu"/>
    <w:link w:val="Nagwek2"/>
    <w:uiPriority w:val="9"/>
    <w:semiHidden/>
    <w:rsid w:val="000967F7"/>
    <w:rPr>
      <w:rFonts w:asciiTheme="majorHAnsi" w:eastAsiaTheme="majorEastAsia" w:hAnsiTheme="majorHAnsi" w:cstheme="majorBidi"/>
      <w:b/>
      <w:bCs/>
      <w:color w:val="4F81BD" w:themeColor="accent1"/>
      <w:sz w:val="26"/>
      <w:szCs w:val="26"/>
    </w:rPr>
  </w:style>
  <w:style w:type="paragraph" w:customStyle="1" w:styleId="Akapitzlist1">
    <w:name w:val="Akapit z listą1"/>
    <w:basedOn w:val="Normalny"/>
    <w:qFormat/>
    <w:rsid w:val="000967F7"/>
    <w:pPr>
      <w:spacing w:after="160" w:line="256" w:lineRule="auto"/>
      <w:ind w:left="720"/>
    </w:pPr>
    <w:rPr>
      <w:rFonts w:ascii="Calibri" w:eastAsia="Times New Roman" w:hAnsi="Calibri" w:cs="Times New Roman"/>
      <w:lang w:eastAsia="en-US"/>
    </w:rPr>
  </w:style>
  <w:style w:type="paragraph" w:customStyle="1" w:styleId="Akapitzlist2">
    <w:name w:val="Akapit z listą2"/>
    <w:basedOn w:val="Normalny"/>
    <w:qFormat/>
    <w:rsid w:val="000967F7"/>
    <w:pPr>
      <w:spacing w:after="160" w:line="259" w:lineRule="auto"/>
      <w:ind w:left="720"/>
    </w:pPr>
    <w:rPr>
      <w:rFonts w:ascii="Calibri" w:eastAsia="Times New Roman" w:hAnsi="Calibri" w:cs="Times New Roman"/>
      <w:lang w:eastAsia="en-US"/>
    </w:rPr>
  </w:style>
  <w:style w:type="paragraph" w:customStyle="1" w:styleId="CM1">
    <w:name w:val="CM1"/>
    <w:basedOn w:val="Normalny"/>
    <w:next w:val="Normalny"/>
    <w:uiPriority w:val="99"/>
    <w:rsid w:val="000967F7"/>
    <w:pPr>
      <w:autoSpaceDE w:val="0"/>
      <w:autoSpaceDN w:val="0"/>
      <w:adjustRightInd w:val="0"/>
      <w:spacing w:after="0" w:line="240" w:lineRule="auto"/>
    </w:pPr>
    <w:rPr>
      <w:rFonts w:ascii="EUAlbertina" w:eastAsiaTheme="minorHAnsi" w:hAnsi="EUAlbertina"/>
      <w:sz w:val="24"/>
      <w:szCs w:val="24"/>
      <w:lang w:eastAsia="en-US"/>
    </w:rPr>
  </w:style>
  <w:style w:type="paragraph" w:customStyle="1" w:styleId="Akapitzlist3">
    <w:name w:val="Akapit z listą3"/>
    <w:basedOn w:val="Normalny"/>
    <w:qFormat/>
    <w:rsid w:val="000967F7"/>
    <w:pPr>
      <w:spacing w:after="160" w:line="259" w:lineRule="auto"/>
      <w:ind w:left="720"/>
      <w:contextualSpacing/>
    </w:pPr>
    <w:rPr>
      <w:rFonts w:ascii="Calibri" w:eastAsia="Times New Roman" w:hAnsi="Calibri" w:cs="Times New Roman"/>
      <w:lang w:eastAsia="en-US"/>
    </w:rPr>
  </w:style>
  <w:style w:type="paragraph" w:customStyle="1" w:styleId="Default">
    <w:name w:val="Default"/>
    <w:rsid w:val="000967F7"/>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customStyle="1" w:styleId="w4ustart">
    <w:name w:val="w4_ust_art"/>
    <w:basedOn w:val="Normalny"/>
    <w:qFormat/>
    <w:rsid w:val="000967F7"/>
    <w:pPr>
      <w:spacing w:before="60" w:after="60" w:line="240" w:lineRule="auto"/>
      <w:ind w:left="1843" w:hanging="255"/>
      <w:jc w:val="both"/>
    </w:pPr>
    <w:rPr>
      <w:rFonts w:ascii="Times New Roman" w:eastAsia="Times New Roman" w:hAnsi="Times New Roman" w:cs="Times New Roman"/>
      <w:sz w:val="24"/>
      <w:szCs w:val="24"/>
    </w:rPr>
  </w:style>
  <w:style w:type="paragraph" w:customStyle="1" w:styleId="w2zmart">
    <w:name w:val="w2_zm_art"/>
    <w:qFormat/>
    <w:rsid w:val="000967F7"/>
    <w:pPr>
      <w:spacing w:before="60" w:after="60" w:line="240" w:lineRule="auto"/>
      <w:ind w:left="851" w:hanging="295"/>
      <w:jc w:val="both"/>
      <w:outlineLvl w:val="3"/>
    </w:pPr>
    <w:rPr>
      <w:rFonts w:ascii="Times New Roman" w:eastAsia="Calibri" w:hAnsi="Times New Roman" w:cs="Times New Roman"/>
      <w:sz w:val="24"/>
      <w:lang w:eastAsia="en-US"/>
    </w:rPr>
  </w:style>
</w:styles>
</file>

<file path=word/webSettings.xml><?xml version="1.0" encoding="utf-8"?>
<w:webSettings xmlns:r="http://schemas.openxmlformats.org/officeDocument/2006/relationships" xmlns:w="http://schemas.openxmlformats.org/wordprocessingml/2006/main">
  <w:divs>
    <w:div w:id="200021889">
      <w:bodyDiv w:val="1"/>
      <w:marLeft w:val="0"/>
      <w:marRight w:val="0"/>
      <w:marTop w:val="0"/>
      <w:marBottom w:val="0"/>
      <w:divBdr>
        <w:top w:val="none" w:sz="0" w:space="0" w:color="auto"/>
        <w:left w:val="none" w:sz="0" w:space="0" w:color="auto"/>
        <w:bottom w:val="none" w:sz="0" w:space="0" w:color="auto"/>
        <w:right w:val="none" w:sz="0" w:space="0" w:color="auto"/>
      </w:divBdr>
    </w:div>
    <w:div w:id="216475868">
      <w:bodyDiv w:val="1"/>
      <w:marLeft w:val="0"/>
      <w:marRight w:val="0"/>
      <w:marTop w:val="0"/>
      <w:marBottom w:val="0"/>
      <w:divBdr>
        <w:top w:val="none" w:sz="0" w:space="0" w:color="auto"/>
        <w:left w:val="none" w:sz="0" w:space="0" w:color="auto"/>
        <w:bottom w:val="none" w:sz="0" w:space="0" w:color="auto"/>
        <w:right w:val="none" w:sz="0" w:space="0" w:color="auto"/>
      </w:divBdr>
      <w:divsChild>
        <w:div w:id="691145596">
          <w:marLeft w:val="0"/>
          <w:marRight w:val="0"/>
          <w:marTop w:val="0"/>
          <w:marBottom w:val="0"/>
          <w:divBdr>
            <w:top w:val="none" w:sz="0" w:space="0" w:color="auto"/>
            <w:left w:val="none" w:sz="0" w:space="0" w:color="auto"/>
            <w:bottom w:val="none" w:sz="0" w:space="0" w:color="auto"/>
            <w:right w:val="none" w:sz="0" w:space="0" w:color="auto"/>
          </w:divBdr>
        </w:div>
        <w:div w:id="472022158">
          <w:marLeft w:val="0"/>
          <w:marRight w:val="0"/>
          <w:marTop w:val="0"/>
          <w:marBottom w:val="0"/>
          <w:divBdr>
            <w:top w:val="none" w:sz="0" w:space="0" w:color="auto"/>
            <w:left w:val="none" w:sz="0" w:space="0" w:color="auto"/>
            <w:bottom w:val="none" w:sz="0" w:space="0" w:color="auto"/>
            <w:right w:val="none" w:sz="0" w:space="0" w:color="auto"/>
          </w:divBdr>
        </w:div>
        <w:div w:id="1942030550">
          <w:marLeft w:val="0"/>
          <w:marRight w:val="0"/>
          <w:marTop w:val="0"/>
          <w:marBottom w:val="0"/>
          <w:divBdr>
            <w:top w:val="none" w:sz="0" w:space="0" w:color="auto"/>
            <w:left w:val="none" w:sz="0" w:space="0" w:color="auto"/>
            <w:bottom w:val="none" w:sz="0" w:space="0" w:color="auto"/>
            <w:right w:val="none" w:sz="0" w:space="0" w:color="auto"/>
          </w:divBdr>
        </w:div>
      </w:divsChild>
    </w:div>
    <w:div w:id="742529536">
      <w:bodyDiv w:val="1"/>
      <w:marLeft w:val="0"/>
      <w:marRight w:val="0"/>
      <w:marTop w:val="0"/>
      <w:marBottom w:val="0"/>
      <w:divBdr>
        <w:top w:val="none" w:sz="0" w:space="0" w:color="auto"/>
        <w:left w:val="none" w:sz="0" w:space="0" w:color="auto"/>
        <w:bottom w:val="none" w:sz="0" w:space="0" w:color="auto"/>
        <w:right w:val="none" w:sz="0" w:space="0" w:color="auto"/>
      </w:divBdr>
    </w:div>
    <w:div w:id="1096632428">
      <w:bodyDiv w:val="1"/>
      <w:marLeft w:val="0"/>
      <w:marRight w:val="0"/>
      <w:marTop w:val="0"/>
      <w:marBottom w:val="0"/>
      <w:divBdr>
        <w:top w:val="none" w:sz="0" w:space="0" w:color="auto"/>
        <w:left w:val="none" w:sz="0" w:space="0" w:color="auto"/>
        <w:bottom w:val="none" w:sz="0" w:space="0" w:color="auto"/>
        <w:right w:val="none" w:sz="0" w:space="0" w:color="auto"/>
      </w:divBdr>
    </w:div>
    <w:div w:id="1256479185">
      <w:bodyDiv w:val="1"/>
      <w:marLeft w:val="0"/>
      <w:marRight w:val="0"/>
      <w:marTop w:val="0"/>
      <w:marBottom w:val="0"/>
      <w:divBdr>
        <w:top w:val="none" w:sz="0" w:space="0" w:color="auto"/>
        <w:left w:val="none" w:sz="0" w:space="0" w:color="auto"/>
        <w:bottom w:val="none" w:sz="0" w:space="0" w:color="auto"/>
        <w:right w:val="none" w:sz="0" w:space="0" w:color="auto"/>
      </w:divBdr>
    </w:div>
    <w:div w:id="1438479596">
      <w:bodyDiv w:val="1"/>
      <w:marLeft w:val="0"/>
      <w:marRight w:val="0"/>
      <w:marTop w:val="0"/>
      <w:marBottom w:val="0"/>
      <w:divBdr>
        <w:top w:val="none" w:sz="0" w:space="0" w:color="auto"/>
        <w:left w:val="none" w:sz="0" w:space="0" w:color="auto"/>
        <w:bottom w:val="none" w:sz="0" w:space="0" w:color="auto"/>
        <w:right w:val="none" w:sz="0" w:space="0" w:color="auto"/>
      </w:divBdr>
    </w:div>
    <w:div w:id="1696927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969B2E-5708-4915-B8AB-360A8B637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10</Pages>
  <Words>2651</Words>
  <Characters>15908</Characters>
  <Application>Microsoft Office Word</Application>
  <DocSecurity>0</DocSecurity>
  <Lines>132</Lines>
  <Paragraphs>37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18522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dc:creator>
  <cp:lastModifiedBy>epanczyk</cp:lastModifiedBy>
  <cp:revision>7</cp:revision>
  <cp:lastPrinted>2016-02-04T09:05:00Z</cp:lastPrinted>
  <dcterms:created xsi:type="dcterms:W3CDTF">2016-02-01T13:08:00Z</dcterms:created>
  <dcterms:modified xsi:type="dcterms:W3CDTF">2016-02-04T09:05:00Z</dcterms:modified>
</cp:coreProperties>
</file>